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FC97" w14:textId="62145E88" w:rsidR="00D66D87" w:rsidRPr="00846052" w:rsidRDefault="009625B3" w:rsidP="00D66D8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PARAMETRY</w:t>
      </w:r>
      <w:r w:rsidR="00D66D87" w:rsidRPr="00846052">
        <w:rPr>
          <w:rFonts w:ascii="Tahoma" w:hAnsi="Tahoma" w:cs="Tahoma"/>
          <w:b/>
          <w:bCs/>
        </w:rPr>
        <w:t xml:space="preserve"> RÓWNOWAŻNOŚCI </w:t>
      </w:r>
    </w:p>
    <w:p w14:paraId="782B3724" w14:textId="77777777" w:rsidR="00D66D87" w:rsidRPr="00846052" w:rsidRDefault="00D66D87" w:rsidP="00D66D87">
      <w:pPr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t>I. ZASADY OGÓLNE – RÓWNOWAŻNOŚĆ MATERIAŁÓW</w:t>
      </w:r>
    </w:p>
    <w:p w14:paraId="2CEF4ED3" w14:textId="77777777" w:rsidR="00D66D87" w:rsidRPr="00846052" w:rsidRDefault="00D66D87" w:rsidP="00D66D87">
      <w:pPr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>Ilekroć w Opisie Przedmiotu Zamówienia, a w szczególności w Programie Prac Konserwatorskich, Dokumentacji Badań Stratygraficznych oraz Projekcie Architektoniczno-Budowlanym, pojawiają się nazwy własne, znaki towarowe, patenty lub pochodzenie produktów i producentów, Zamawiający – zgodnie z art. 99 ust. 4 ustawy PZP – dopuszcza zastosowanie rozwiązań równoważnych.</w:t>
      </w:r>
    </w:p>
    <w:p w14:paraId="73AFBA1C" w14:textId="77777777" w:rsidR="00D66D87" w:rsidRPr="00846052" w:rsidRDefault="00D66D87" w:rsidP="00846052">
      <w:p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>Przez produkt równoważny należy rozumieć taki, który:</w:t>
      </w:r>
    </w:p>
    <w:p w14:paraId="3783AC9F" w14:textId="77777777" w:rsidR="00D66D87" w:rsidRPr="00846052" w:rsidRDefault="00D66D87" w:rsidP="00846052">
      <w:pPr>
        <w:numPr>
          <w:ilvl w:val="0"/>
          <w:numId w:val="1"/>
        </w:num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posiada parametry techniczne, fizykochemiczne i użytkowe nie gorsze niż wskazane, </w:t>
      </w:r>
    </w:p>
    <w:p w14:paraId="518231B1" w14:textId="77777777" w:rsidR="00D66D87" w:rsidRPr="00846052" w:rsidRDefault="00D66D87" w:rsidP="00846052">
      <w:pPr>
        <w:numPr>
          <w:ilvl w:val="0"/>
          <w:numId w:val="1"/>
        </w:num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spełnia wymagania określone w niniejszym załączniku, </w:t>
      </w:r>
    </w:p>
    <w:p w14:paraId="0AB93CA7" w14:textId="77777777" w:rsidR="00D66D87" w:rsidRPr="00846052" w:rsidRDefault="00D66D87" w:rsidP="00846052">
      <w:pPr>
        <w:numPr>
          <w:ilvl w:val="0"/>
          <w:numId w:val="1"/>
        </w:num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zapewnia równoważną skuteczność użytkową i konserwatorską. </w:t>
      </w:r>
    </w:p>
    <w:p w14:paraId="7F5894FA" w14:textId="3211F21D" w:rsidR="00D66D87" w:rsidRPr="00846052" w:rsidRDefault="00D66D87" w:rsidP="00D66D87">
      <w:pPr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>Parametry równoważności należy rozumieć jako minimalne wymagania. Dopuszcza się rozwiązania równoważne spełniające te wymagania lub wykazujące równoważną skuteczność użytkową, potwierdzoną dokumentacją techniczną, badaniami lub doświadczeniem w zastosowaniach konserwatorskich.</w:t>
      </w:r>
    </w:p>
    <w:p w14:paraId="04583183" w14:textId="77777777" w:rsidR="00D66D87" w:rsidRPr="00846052" w:rsidRDefault="00D66D87" w:rsidP="00D66D87">
      <w:pPr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>Ciężar udowodnienia równoważności spoczywa na Wykonawcy.</w:t>
      </w:r>
    </w:p>
    <w:p w14:paraId="46701747" w14:textId="77777777" w:rsidR="00D66D87" w:rsidRPr="00846052" w:rsidRDefault="00D66D87" w:rsidP="00846052">
      <w:p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>Wykonawca zobowiązany jest wykazać równoważność poprzez przedstawienie:</w:t>
      </w:r>
    </w:p>
    <w:p w14:paraId="5539CA78" w14:textId="77777777" w:rsidR="00D66D87" w:rsidRPr="00846052" w:rsidRDefault="00D66D87" w:rsidP="00846052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kart technicznych, </w:t>
      </w:r>
    </w:p>
    <w:p w14:paraId="251948F8" w14:textId="77777777" w:rsidR="00D66D87" w:rsidRPr="00846052" w:rsidRDefault="00D66D87" w:rsidP="00846052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wyników badań, </w:t>
      </w:r>
    </w:p>
    <w:p w14:paraId="561110BC" w14:textId="77777777" w:rsidR="00D66D87" w:rsidRPr="00846052" w:rsidRDefault="00D66D87" w:rsidP="00846052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aprobat technicznych, </w:t>
      </w:r>
    </w:p>
    <w:p w14:paraId="67BBD070" w14:textId="77777777" w:rsidR="00D66D87" w:rsidRPr="00846052" w:rsidRDefault="00D66D87" w:rsidP="00846052">
      <w:pPr>
        <w:numPr>
          <w:ilvl w:val="0"/>
          <w:numId w:val="2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lub innych dokumentów potwierdzających właściwości materiałów. </w:t>
      </w:r>
    </w:p>
    <w:p w14:paraId="2B385838" w14:textId="77777777" w:rsidR="00D66D87" w:rsidRDefault="00D66D87" w:rsidP="00846052">
      <w:p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>Zastosowanie materiału równoważnego wymaga akceptacji nadzoru konserwatorskiego.</w:t>
      </w:r>
    </w:p>
    <w:p w14:paraId="610D833C" w14:textId="77777777" w:rsidR="00846052" w:rsidRDefault="00846052" w:rsidP="00846052">
      <w:pPr>
        <w:spacing w:after="0"/>
        <w:rPr>
          <w:rFonts w:ascii="Tahoma" w:hAnsi="Tahoma" w:cs="Tahoma"/>
        </w:rPr>
      </w:pPr>
    </w:p>
    <w:p w14:paraId="1D64D174" w14:textId="77777777" w:rsidR="00846052" w:rsidRDefault="00846052" w:rsidP="00846052">
      <w:pPr>
        <w:spacing w:after="0"/>
        <w:rPr>
          <w:rFonts w:ascii="Tahoma" w:hAnsi="Tahoma" w:cs="Tahoma"/>
        </w:rPr>
      </w:pPr>
    </w:p>
    <w:p w14:paraId="7D85B142" w14:textId="77777777" w:rsidR="00601C28" w:rsidRDefault="00601C28" w:rsidP="00846052">
      <w:pPr>
        <w:spacing w:after="0"/>
        <w:rPr>
          <w:rFonts w:ascii="Tahoma" w:hAnsi="Tahoma" w:cs="Tahoma"/>
        </w:rPr>
      </w:pPr>
    </w:p>
    <w:p w14:paraId="60D59457" w14:textId="77777777" w:rsidR="00846052" w:rsidRPr="00846052" w:rsidRDefault="00846052" w:rsidP="00846052">
      <w:pPr>
        <w:spacing w:after="0"/>
        <w:rPr>
          <w:rFonts w:ascii="Tahoma" w:hAnsi="Tahoma" w:cs="Tahoma"/>
        </w:rPr>
      </w:pPr>
    </w:p>
    <w:p w14:paraId="4454F2E0" w14:textId="77777777" w:rsidR="00D66D87" w:rsidRPr="00846052" w:rsidRDefault="00D66D87" w:rsidP="00D66D87">
      <w:pPr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lastRenderedPageBreak/>
        <w:t>II. TABELA RÓWNOWAŻNOŚCI MATERIAŁÓW</w:t>
      </w:r>
    </w:p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2571"/>
        <w:gridCol w:w="2002"/>
        <w:gridCol w:w="10164"/>
      </w:tblGrid>
      <w:tr w:rsidR="00D66D87" w:rsidRPr="000F3EDE" w14:paraId="6557E2F6" w14:textId="77777777" w:rsidTr="00846052">
        <w:tc>
          <w:tcPr>
            <w:tcW w:w="2571" w:type="dxa"/>
            <w:shd w:val="clear" w:color="auto" w:fill="D0CECE" w:themeFill="background2" w:themeFillShade="E6"/>
          </w:tcPr>
          <w:p w14:paraId="7078B3F6" w14:textId="77777777" w:rsidR="00D66D87" w:rsidRPr="00846052" w:rsidRDefault="00D66D87" w:rsidP="005C434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Nazwa preparatu/Producent</w:t>
            </w:r>
          </w:p>
        </w:tc>
        <w:tc>
          <w:tcPr>
            <w:tcW w:w="1819" w:type="dxa"/>
            <w:shd w:val="clear" w:color="auto" w:fill="D0CECE" w:themeFill="background2" w:themeFillShade="E6"/>
          </w:tcPr>
          <w:p w14:paraId="619CD309" w14:textId="77777777" w:rsidR="00D66D87" w:rsidRPr="00846052" w:rsidRDefault="00D66D87" w:rsidP="005C434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Przeznaczenie</w:t>
            </w:r>
          </w:p>
        </w:tc>
        <w:tc>
          <w:tcPr>
            <w:tcW w:w="10347" w:type="dxa"/>
            <w:shd w:val="clear" w:color="auto" w:fill="D0CECE" w:themeFill="background2" w:themeFillShade="E6"/>
          </w:tcPr>
          <w:p w14:paraId="5858E50C" w14:textId="77777777" w:rsidR="00D66D87" w:rsidRPr="00846052" w:rsidRDefault="00D66D87" w:rsidP="005C434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Parametry równoważności</w:t>
            </w:r>
          </w:p>
        </w:tc>
      </w:tr>
      <w:tr w:rsidR="00D66D87" w:rsidRPr="000F3EDE" w14:paraId="0D2A5916" w14:textId="77777777" w:rsidTr="00846052">
        <w:tc>
          <w:tcPr>
            <w:tcW w:w="2571" w:type="dxa"/>
            <w:shd w:val="clear" w:color="auto" w:fill="D0CECE" w:themeFill="background2" w:themeFillShade="E6"/>
          </w:tcPr>
          <w:p w14:paraId="77AADCE4" w14:textId="77777777" w:rsidR="00D66D87" w:rsidRPr="00846052" w:rsidRDefault="00D66D87" w:rsidP="005C434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819" w:type="dxa"/>
            <w:shd w:val="clear" w:color="auto" w:fill="D0CECE" w:themeFill="background2" w:themeFillShade="E6"/>
          </w:tcPr>
          <w:p w14:paraId="70E91BC0" w14:textId="77777777" w:rsidR="00D66D87" w:rsidRPr="00846052" w:rsidRDefault="00D66D87" w:rsidP="005C434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0347" w:type="dxa"/>
            <w:shd w:val="clear" w:color="auto" w:fill="D0CECE" w:themeFill="background2" w:themeFillShade="E6"/>
          </w:tcPr>
          <w:p w14:paraId="39DA7795" w14:textId="77777777" w:rsidR="00D66D87" w:rsidRPr="00846052" w:rsidRDefault="00D66D87" w:rsidP="005C434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3</w:t>
            </w:r>
          </w:p>
        </w:tc>
      </w:tr>
      <w:tr w:rsidR="00D66D87" w:rsidRPr="000F3EDE" w14:paraId="58009D10" w14:textId="77777777" w:rsidTr="00846052">
        <w:trPr>
          <w:trHeight w:val="1766"/>
        </w:trPr>
        <w:tc>
          <w:tcPr>
            <w:tcW w:w="2571" w:type="dxa"/>
          </w:tcPr>
          <w:p w14:paraId="2CA85F2F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KSE 300/</w:t>
            </w:r>
            <w:proofErr w:type="spellStart"/>
            <w:r w:rsidRPr="00846052">
              <w:rPr>
                <w:rFonts w:ascii="Tahoma" w:hAnsi="Tahoma" w:cs="Tahoma"/>
              </w:rPr>
              <w:t>Remmers</w:t>
            </w:r>
            <w:proofErr w:type="spellEnd"/>
          </w:p>
        </w:tc>
        <w:tc>
          <w:tcPr>
            <w:tcW w:w="1819" w:type="dxa"/>
          </w:tcPr>
          <w:p w14:paraId="52585EC5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Preparat do wzmocnienia strukturalnego</w:t>
            </w:r>
          </w:p>
        </w:tc>
        <w:tc>
          <w:tcPr>
            <w:tcW w:w="10347" w:type="dxa"/>
          </w:tcPr>
          <w:p w14:paraId="23389D76" w14:textId="77777777" w:rsidR="00D66D87" w:rsidRPr="00846052" w:rsidRDefault="00D66D87" w:rsidP="005C434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konsolidującyjny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na bazie związków krzemoorganicznych, dopuszczony do stosowania w konserwacji zabytków o minimalnych parametrach:</w:t>
            </w:r>
          </w:p>
          <w:p w14:paraId="4DFD6EF0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>baza chemiczna: estry kwasu krzemowego (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>etylokrzemiany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) </w:t>
            </w:r>
          </w:p>
          <w:p w14:paraId="0E95DA70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>mechanizm działania: tworzenie żelu krzemionkowego (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>SiO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₂) w porach materiału </w:t>
            </w:r>
          </w:p>
          <w:p w14:paraId="25E9A7B9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>zawartość substancji czynnej (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>SiO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₂): min. 25% </w:t>
            </w:r>
          </w:p>
          <w:p w14:paraId="0FD41E0E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zdolność penetracji: potwierdzona w karcie technicznej lub badaniach producenta jako odpowiednia do konsolidacji materiałów mineralnych (np. kamienia, cegły) </w:t>
            </w:r>
          </w:p>
          <w:p w14:paraId="5791BB41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brak tworzenia szczelnej powłoki powierzchniowej </w:t>
            </w:r>
          </w:p>
          <w:p w14:paraId="0CC980FC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współczynnik oporu dyfuzyjnego pary wodnej µ – brak istotnego zwiększenia po aplikacji (zachowanie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>paroprzepuszczalności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) </w:t>
            </w:r>
          </w:p>
          <w:p w14:paraId="29660B41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zmiana kolorystyki: brak widocznych zmian powierzchni po zastosowaniu </w:t>
            </w:r>
          </w:p>
          <w:p w14:paraId="4ACA8FEF" w14:textId="77777777" w:rsidR="00D66D87" w:rsidRPr="00846052" w:rsidRDefault="00D66D87" w:rsidP="00D66D87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846052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kompatybilność z mineralnymi materiałami budowlanymi, w tym historycznymi </w:t>
            </w:r>
          </w:p>
        </w:tc>
      </w:tr>
      <w:tr w:rsidR="00D66D87" w:rsidRPr="000F3EDE" w14:paraId="2DC50016" w14:textId="77777777" w:rsidTr="00846052">
        <w:tc>
          <w:tcPr>
            <w:tcW w:w="2571" w:type="dxa"/>
          </w:tcPr>
          <w:p w14:paraId="2A965577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Injektionsleim</w:t>
            </w:r>
            <w:proofErr w:type="spellEnd"/>
            <w:r w:rsidRPr="00846052">
              <w:rPr>
                <w:rFonts w:ascii="Tahoma" w:hAnsi="Tahoma" w:cs="Tahoma"/>
                <w:b/>
                <w:bCs/>
              </w:rPr>
              <w:t xml:space="preserve"> 2K/</w:t>
            </w:r>
            <w:r w:rsidRPr="00846052">
              <w:rPr>
                <w:rFonts w:ascii="Tahoma" w:hAnsi="Tahoma" w:cs="Tahoma"/>
              </w:rPr>
              <w:t xml:space="preserve"> </w:t>
            </w:r>
            <w:proofErr w:type="spellStart"/>
            <w:r w:rsidRPr="00846052">
              <w:rPr>
                <w:rFonts w:ascii="Tahoma" w:hAnsi="Tahoma" w:cs="Tahoma"/>
              </w:rPr>
              <w:t>Remmers</w:t>
            </w:r>
            <w:proofErr w:type="spellEnd"/>
          </w:p>
        </w:tc>
        <w:tc>
          <w:tcPr>
            <w:tcW w:w="1819" w:type="dxa"/>
          </w:tcPr>
          <w:p w14:paraId="64598A39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 xml:space="preserve">Preparat do wypełniania szczelin i </w:t>
            </w:r>
            <w:proofErr w:type="spellStart"/>
            <w:r w:rsidRPr="00846052">
              <w:rPr>
                <w:rFonts w:ascii="Tahoma" w:hAnsi="Tahoma" w:cs="Tahoma"/>
              </w:rPr>
              <w:t>odspojeń</w:t>
            </w:r>
            <w:proofErr w:type="spellEnd"/>
            <w:r w:rsidRPr="00846052">
              <w:rPr>
                <w:rFonts w:ascii="Tahoma" w:hAnsi="Tahoma" w:cs="Tahoma"/>
              </w:rPr>
              <w:t>.</w:t>
            </w:r>
          </w:p>
        </w:tc>
        <w:tc>
          <w:tcPr>
            <w:tcW w:w="10347" w:type="dxa"/>
          </w:tcPr>
          <w:p w14:paraId="5A189E4C" w14:textId="77777777" w:rsidR="00D66D87" w:rsidRPr="00846052" w:rsidRDefault="00D66D87" w:rsidP="005C434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Mineralny szlam iniekcyjny na bazie spoiw mineralnych o minimalnych parametrach:</w:t>
            </w:r>
          </w:p>
          <w:p w14:paraId="7D7DB188" w14:textId="77777777" w:rsidR="00D66D87" w:rsidRPr="00846052" w:rsidRDefault="00D66D87" w:rsidP="00D66D87">
            <w:pPr>
              <w:numPr>
                <w:ilvl w:val="0"/>
                <w:numId w:val="8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materiał dwuskładnikowy do iniekcji </w:t>
            </w:r>
          </w:p>
          <w:p w14:paraId="5A10AC22" w14:textId="77777777" w:rsidR="00D66D87" w:rsidRPr="00846052" w:rsidRDefault="00D66D87" w:rsidP="00D66D87">
            <w:pPr>
              <w:numPr>
                <w:ilvl w:val="0"/>
                <w:numId w:val="8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konsystencja umożliwiająca iniekcję w drobne szczeliny (potwierdzona w karcie technicznej lub badaniach producenta) </w:t>
            </w:r>
          </w:p>
          <w:p w14:paraId="4CA88CC3" w14:textId="77777777" w:rsidR="00D66D87" w:rsidRPr="00846052" w:rsidRDefault="00D66D87" w:rsidP="00D66D87">
            <w:pPr>
              <w:numPr>
                <w:ilvl w:val="0"/>
                <w:numId w:val="8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zdolność do wypełniania szczelin i pustek w materiałach mineralnych (np. od ok. 0,2 mm lub równoważna skuteczność) </w:t>
            </w:r>
          </w:p>
          <w:p w14:paraId="792CEAB4" w14:textId="77777777" w:rsidR="00D66D87" w:rsidRPr="00846052" w:rsidRDefault="00D66D87" w:rsidP="00D66D87">
            <w:pPr>
              <w:numPr>
                <w:ilvl w:val="0"/>
                <w:numId w:val="8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wytrzymałość mechaniczna dostosowana do wzmacnianego podłoża (zalecana w zakresie kilku–kilkudziesięciu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lub równoważna) </w:t>
            </w:r>
          </w:p>
          <w:p w14:paraId="4B3501BD" w14:textId="77777777" w:rsidR="00D66D87" w:rsidRPr="00846052" w:rsidRDefault="00D66D87" w:rsidP="00D66D87">
            <w:pPr>
              <w:numPr>
                <w:ilvl w:val="0"/>
                <w:numId w:val="8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przyczepność do podłoży mineralnych potwierdzona badaniami producenta </w:t>
            </w:r>
          </w:p>
          <w:p w14:paraId="4B907D5C" w14:textId="77777777" w:rsidR="00D66D87" w:rsidRPr="00846052" w:rsidRDefault="00D66D87" w:rsidP="00D66D87">
            <w:pPr>
              <w:numPr>
                <w:ilvl w:val="0"/>
                <w:numId w:val="8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ograniczony skurcz po związaniu (brak powstawania rys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odspojeń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14:paraId="01261A20" w14:textId="77777777" w:rsidR="00D66D87" w:rsidRPr="00846052" w:rsidRDefault="00D66D87" w:rsidP="00D66D87">
            <w:pPr>
              <w:numPr>
                <w:ilvl w:val="0"/>
                <w:numId w:val="8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kompatybilność z materiałami mineralnymi, w tym historycznymi </w:t>
            </w:r>
          </w:p>
        </w:tc>
      </w:tr>
      <w:tr w:rsidR="00D66D87" w:rsidRPr="000F3EDE" w14:paraId="5DC8F562" w14:textId="77777777" w:rsidTr="00846052">
        <w:tc>
          <w:tcPr>
            <w:tcW w:w="2571" w:type="dxa"/>
          </w:tcPr>
          <w:p w14:paraId="79A12A40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RenoPutz</w:t>
            </w:r>
            <w:proofErr w:type="spellEnd"/>
            <w:r w:rsidRPr="00846052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846052">
              <w:rPr>
                <w:rFonts w:ascii="Tahoma" w:hAnsi="Tahoma" w:cs="Tahoma"/>
              </w:rPr>
              <w:t>Optolith</w:t>
            </w:r>
            <w:proofErr w:type="spellEnd"/>
          </w:p>
        </w:tc>
        <w:tc>
          <w:tcPr>
            <w:tcW w:w="1819" w:type="dxa"/>
          </w:tcPr>
          <w:p w14:paraId="36DED1EC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Zaprawa do uzupełniania lokalnych ubytków tynku</w:t>
            </w:r>
          </w:p>
        </w:tc>
        <w:tc>
          <w:tcPr>
            <w:tcW w:w="10347" w:type="dxa"/>
          </w:tcPr>
          <w:p w14:paraId="1D2825ED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Drobnoziarnista masz szpachlowa o parametrach:</w:t>
            </w:r>
          </w:p>
          <w:p w14:paraId="2843AAC0" w14:textId="77777777" w:rsidR="00D66D87" w:rsidRPr="00846052" w:rsidRDefault="00D66D87" w:rsidP="00D66D87">
            <w:pPr>
              <w:numPr>
                <w:ilvl w:val="0"/>
                <w:numId w:val="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zaprawa mineralna (np. wapienna, wapienno-cementowa lub równoważna) przeznaczona do prac renowacyjnych </w:t>
            </w:r>
          </w:p>
          <w:p w14:paraId="46FA3D53" w14:textId="77777777" w:rsidR="00D66D87" w:rsidRPr="00846052" w:rsidRDefault="00D66D87" w:rsidP="00D66D87">
            <w:pPr>
              <w:numPr>
                <w:ilvl w:val="0"/>
                <w:numId w:val="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wytrzymałość na ściskanie: kategoria CS I–CS III wg PN-EN 998-1 lub równoważna </w:t>
            </w:r>
          </w:p>
          <w:p w14:paraId="090F6E20" w14:textId="77777777" w:rsidR="00D66D87" w:rsidRPr="00846052" w:rsidRDefault="00D66D87" w:rsidP="00D66D87">
            <w:pPr>
              <w:numPr>
                <w:ilvl w:val="0"/>
                <w:numId w:val="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współczynnik oporu dyfuzyjnego pary wodnej µ: ≤ 15 lub równoważna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paroprzepuszczalność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3000745A" w14:textId="77777777" w:rsidR="00D66D87" w:rsidRPr="00846052" w:rsidRDefault="00D66D87" w:rsidP="00D66D87">
            <w:pPr>
              <w:numPr>
                <w:ilvl w:val="0"/>
                <w:numId w:val="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przyczepność do podłoża: ≥ 0,2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1C7C796A" w14:textId="77777777" w:rsidR="00D66D87" w:rsidRPr="00846052" w:rsidRDefault="00D66D87" w:rsidP="00D66D87">
            <w:pPr>
              <w:numPr>
                <w:ilvl w:val="0"/>
                <w:numId w:val="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uziarnienie dostosowane do grubości uzupełnienia (możliwość stosowania warstwowo) </w:t>
            </w:r>
          </w:p>
          <w:p w14:paraId="6E4A8D61" w14:textId="77777777" w:rsidR="00D66D87" w:rsidRPr="00846052" w:rsidRDefault="00D66D87" w:rsidP="00D66D87">
            <w:pPr>
              <w:numPr>
                <w:ilvl w:val="0"/>
                <w:numId w:val="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lastRenderedPageBreak/>
              <w:t xml:space="preserve">kompatybilność z istniejącymi tynkami mineralnymi, w tym historycznymi (brak nadmiernej sztywności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naprężeń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14:paraId="3D1EB315" w14:textId="77777777" w:rsidR="00D66D87" w:rsidRPr="00846052" w:rsidRDefault="00D66D87" w:rsidP="00D66D87">
            <w:pPr>
              <w:numPr>
                <w:ilvl w:val="0"/>
                <w:numId w:val="9"/>
              </w:numPr>
              <w:ind w:left="357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nie powoduje zmian barwy ani struktury powierzchni, </w:t>
            </w:r>
          </w:p>
        </w:tc>
      </w:tr>
      <w:tr w:rsidR="00D66D87" w:rsidRPr="000F3EDE" w14:paraId="2E140948" w14:textId="77777777" w:rsidTr="00846052">
        <w:tc>
          <w:tcPr>
            <w:tcW w:w="2571" w:type="dxa"/>
          </w:tcPr>
          <w:p w14:paraId="017A98C2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lastRenderedPageBreak/>
              <w:t>Risegrunt</w:t>
            </w:r>
            <w:proofErr w:type="spellEnd"/>
            <w:r w:rsidRPr="00846052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846052">
              <w:rPr>
                <w:rFonts w:ascii="Tahoma" w:hAnsi="Tahoma" w:cs="Tahoma"/>
              </w:rPr>
              <w:t>Optolith</w:t>
            </w:r>
            <w:proofErr w:type="spellEnd"/>
          </w:p>
        </w:tc>
        <w:tc>
          <w:tcPr>
            <w:tcW w:w="1819" w:type="dxa"/>
          </w:tcPr>
          <w:p w14:paraId="5742EA05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Grunt</w:t>
            </w:r>
          </w:p>
        </w:tc>
        <w:tc>
          <w:tcPr>
            <w:tcW w:w="10347" w:type="dxa"/>
          </w:tcPr>
          <w:p w14:paraId="3D18ADB7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Preparat gruntujący do podłoży mineralnych pod warstwy tynkarskie / renowacyjne o minimalnych parametrach:</w:t>
            </w:r>
          </w:p>
          <w:p w14:paraId="76CD19FF" w14:textId="77777777" w:rsidR="00D66D87" w:rsidRPr="00846052" w:rsidRDefault="00D66D87" w:rsidP="00D66D87">
            <w:pPr>
              <w:numPr>
                <w:ilvl w:val="0"/>
                <w:numId w:val="1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gruntujący do podłoży mineralnych (np. pod tynki, zaprawy renowacyjne) </w:t>
            </w:r>
          </w:p>
          <w:p w14:paraId="356B47A5" w14:textId="77777777" w:rsidR="00D66D87" w:rsidRPr="00846052" w:rsidRDefault="00D66D87" w:rsidP="00D66D87">
            <w:pPr>
              <w:numPr>
                <w:ilvl w:val="0"/>
                <w:numId w:val="1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zdolność do regulacji chłonności podłoża i poprawy przyczepności kolejnych warstw (potwierdzona w karcie technicznej) </w:t>
            </w:r>
          </w:p>
          <w:p w14:paraId="6FA85018" w14:textId="77777777" w:rsidR="00D66D87" w:rsidRPr="00846052" w:rsidRDefault="00D66D87" w:rsidP="00D66D87">
            <w:pPr>
              <w:numPr>
                <w:ilvl w:val="0"/>
                <w:numId w:val="1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współczynnik oporu dyfuzyjnego pary wodnej µ: ≤ 50 lub równoważna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paroprzepuszczalność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71589AE" w14:textId="77777777" w:rsidR="00D66D87" w:rsidRPr="00846052" w:rsidRDefault="00D66D87" w:rsidP="00D66D87">
            <w:pPr>
              <w:numPr>
                <w:ilvl w:val="0"/>
                <w:numId w:val="1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tworzenia szczelnej, nieprzepuszczalnej powłoki na powierzchni </w:t>
            </w:r>
          </w:p>
          <w:p w14:paraId="004F8D7D" w14:textId="77777777" w:rsidR="00D66D87" w:rsidRPr="00846052" w:rsidRDefault="00D66D87" w:rsidP="00D66D87">
            <w:pPr>
              <w:numPr>
                <w:ilvl w:val="0"/>
                <w:numId w:val="1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kompatybilność z podłożami mineralnymi oraz systemami tynków renowacyjnych </w:t>
            </w:r>
          </w:p>
          <w:p w14:paraId="06F3AD82" w14:textId="77777777" w:rsidR="00D66D87" w:rsidRPr="00846052" w:rsidRDefault="00D66D87" w:rsidP="00D66D87">
            <w:pPr>
              <w:numPr>
                <w:ilvl w:val="0"/>
                <w:numId w:val="1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możliwość stosowania na podłożach historycznych</w:t>
            </w:r>
          </w:p>
          <w:p w14:paraId="4D541770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6D87" w:rsidRPr="000F3EDE" w14:paraId="1F1E3DFB" w14:textId="77777777" w:rsidTr="00846052">
        <w:tc>
          <w:tcPr>
            <w:tcW w:w="2571" w:type="dxa"/>
          </w:tcPr>
          <w:p w14:paraId="51B4E566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Ecofinisch</w:t>
            </w:r>
            <w:proofErr w:type="spellEnd"/>
            <w:r w:rsidRPr="00846052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846052">
              <w:rPr>
                <w:rFonts w:ascii="Tahoma" w:hAnsi="Tahoma" w:cs="Tahoma"/>
              </w:rPr>
              <w:t>Optolith</w:t>
            </w:r>
            <w:proofErr w:type="spellEnd"/>
          </w:p>
        </w:tc>
        <w:tc>
          <w:tcPr>
            <w:tcW w:w="1819" w:type="dxa"/>
          </w:tcPr>
          <w:p w14:paraId="23D15685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 xml:space="preserve">Cienkowarstwowy tynk zbrojony </w:t>
            </w:r>
            <w:proofErr w:type="spellStart"/>
            <w:r w:rsidRPr="00846052">
              <w:rPr>
                <w:rFonts w:ascii="Tahoma" w:hAnsi="Tahoma" w:cs="Tahoma"/>
              </w:rPr>
              <w:t>mikrowłóknami</w:t>
            </w:r>
            <w:proofErr w:type="spellEnd"/>
          </w:p>
        </w:tc>
        <w:tc>
          <w:tcPr>
            <w:tcW w:w="10347" w:type="dxa"/>
          </w:tcPr>
          <w:p w14:paraId="30F0E557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Cienkowarstwowa zaprawa wykończeniowa do powierzchni tynków mineralnych o minimalnych parametrach:</w:t>
            </w:r>
          </w:p>
          <w:p w14:paraId="249AF6DA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zaprawa mineralna (np. wapienna, wapienno-cementowa lub równoważna) do wykonywania warstw wykończeniowych </w:t>
            </w:r>
          </w:p>
          <w:p w14:paraId="67FCBE2B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maksymalne uziarnienie: ≤ 0,5 mm </w:t>
            </w:r>
          </w:p>
          <w:p w14:paraId="66186191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wykonywania cienkowarstwowych wypraw (ok. 1–3 mm) </w:t>
            </w:r>
          </w:p>
          <w:p w14:paraId="5063F1BC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współczynnik oporu dyfuzyjnego pary wodnej µ: ≤ 15 lub równoważna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paroprzepuszczalność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53D8F04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przyczepność do podłoża mineralnego: ≥ 0,2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45A45E80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uzyskania gładkiej, drobnoziarnistej faktury powierzchni </w:t>
            </w:r>
          </w:p>
          <w:p w14:paraId="4DCA2A5E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kompatybilność z mineralnymi systemami tynków, w tym stosowanymi w obiektach zabytkowych</w:t>
            </w:r>
          </w:p>
          <w:p w14:paraId="5FC83821" w14:textId="77777777" w:rsidR="00D66D87" w:rsidRPr="00846052" w:rsidRDefault="00D66D87" w:rsidP="00D66D87">
            <w:pPr>
              <w:numPr>
                <w:ilvl w:val="0"/>
                <w:numId w:val="11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odporność na powstawanie rys skurczowych (potwierdzona właściwościami zaprawy lub dodatkami modyfikującymi)</w:t>
            </w:r>
          </w:p>
        </w:tc>
      </w:tr>
      <w:tr w:rsidR="00D66D87" w:rsidRPr="000F3EDE" w14:paraId="1D1EDBA0" w14:textId="77777777" w:rsidTr="00846052">
        <w:tc>
          <w:tcPr>
            <w:tcW w:w="2571" w:type="dxa"/>
          </w:tcPr>
          <w:p w14:paraId="663C808D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Silisan</w:t>
            </w:r>
            <w:proofErr w:type="spellEnd"/>
            <w:r w:rsidRPr="00846052">
              <w:rPr>
                <w:rFonts w:ascii="Tahoma" w:hAnsi="Tahoma" w:cs="Tahoma"/>
                <w:b/>
                <w:bCs/>
              </w:rPr>
              <w:t xml:space="preserve"> Plus/</w:t>
            </w:r>
            <w:proofErr w:type="spellStart"/>
            <w:r w:rsidRPr="00846052">
              <w:rPr>
                <w:rFonts w:ascii="Tahoma" w:hAnsi="Tahoma" w:cs="Tahoma"/>
              </w:rPr>
              <w:t>Optolith</w:t>
            </w:r>
            <w:proofErr w:type="spellEnd"/>
          </w:p>
        </w:tc>
        <w:tc>
          <w:tcPr>
            <w:tcW w:w="1819" w:type="dxa"/>
          </w:tcPr>
          <w:p w14:paraId="3A1C8E2B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 xml:space="preserve">Elewacyjna farba </w:t>
            </w:r>
            <w:proofErr w:type="spellStart"/>
            <w:r w:rsidRPr="00846052">
              <w:rPr>
                <w:rFonts w:ascii="Tahoma" w:hAnsi="Tahoma" w:cs="Tahoma"/>
              </w:rPr>
              <w:t>zolo</w:t>
            </w:r>
            <w:proofErr w:type="spellEnd"/>
            <w:r w:rsidRPr="00846052">
              <w:rPr>
                <w:rFonts w:ascii="Tahoma" w:hAnsi="Tahoma" w:cs="Tahoma"/>
              </w:rPr>
              <w:t>-silikatowa.</w:t>
            </w:r>
          </w:p>
        </w:tc>
        <w:tc>
          <w:tcPr>
            <w:tcW w:w="10347" w:type="dxa"/>
          </w:tcPr>
          <w:p w14:paraId="7486E581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Elewacyjna farba do podłoży mineralnych stosowanych w obiektach zabytkowych o minimalnych parametrach:</w:t>
            </w:r>
          </w:p>
          <w:p w14:paraId="761F768D" w14:textId="77777777" w:rsidR="00D66D87" w:rsidRPr="00846052" w:rsidRDefault="00D66D87" w:rsidP="00D66D87">
            <w:pPr>
              <w:pStyle w:val="Akapitzlist"/>
              <w:numPr>
                <w:ilvl w:val="0"/>
                <w:numId w:val="12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farba elewacyjna do podłoży mineralnych (np. na bazie spoiwa krzemianowego,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krzemianowo-organicznego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lub równoważna)</w:t>
            </w:r>
          </w:p>
          <w:p w14:paraId="3014069F" w14:textId="77777777" w:rsidR="00D66D87" w:rsidRPr="00846052" w:rsidRDefault="00D66D87" w:rsidP="00D66D87">
            <w:pPr>
              <w:pStyle w:val="Akapitzlist"/>
              <w:numPr>
                <w:ilvl w:val="0"/>
                <w:numId w:val="12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współczynnik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Sd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: ≤ 0,1 m lub równoważna wysoka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paroprzepuszczalność</w:t>
            </w:r>
            <w:proofErr w:type="spellEnd"/>
          </w:p>
          <w:p w14:paraId="0B4EBDEF" w14:textId="77777777" w:rsidR="00D66D87" w:rsidRPr="00846052" w:rsidRDefault="00D66D87" w:rsidP="00D66D87">
            <w:pPr>
              <w:pStyle w:val="Akapitzlist"/>
              <w:numPr>
                <w:ilvl w:val="0"/>
                <w:numId w:val="12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nasiąkliwość powierzchniowa: ≤ 0,5 kg/m²·h⁰˙⁵ lub równoważna</w:t>
            </w:r>
          </w:p>
          <w:p w14:paraId="66D927D4" w14:textId="77777777" w:rsidR="00D66D87" w:rsidRPr="00846052" w:rsidRDefault="00D66D87" w:rsidP="00D66D87">
            <w:pPr>
              <w:pStyle w:val="Akapitzlist"/>
              <w:numPr>
                <w:ilvl w:val="0"/>
                <w:numId w:val="12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trwała przyczepność do podłoży mineralnych potwierdzona w karcie technicznej lub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badaniac</w:t>
            </w:r>
            <w:proofErr w:type="spellEnd"/>
          </w:p>
          <w:p w14:paraId="33D9DE16" w14:textId="77777777" w:rsidR="00D66D87" w:rsidRPr="00846052" w:rsidRDefault="00D66D87" w:rsidP="00D66D87">
            <w:pPr>
              <w:pStyle w:val="Akapitzlist"/>
              <w:numPr>
                <w:ilvl w:val="0"/>
                <w:numId w:val="12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odporność na działanie czynników atmosferycznych i promieniowania UV</w:t>
            </w:r>
          </w:p>
          <w:p w14:paraId="4829C550" w14:textId="77777777" w:rsidR="00D66D87" w:rsidRPr="00846052" w:rsidRDefault="00D66D87" w:rsidP="00D66D87">
            <w:pPr>
              <w:pStyle w:val="Akapitzlist"/>
              <w:numPr>
                <w:ilvl w:val="0"/>
                <w:numId w:val="12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brak tworzenia szczelnej powłoki ograniczającej dyfuzję pary wodnej</w:t>
            </w:r>
          </w:p>
          <w:p w14:paraId="0583674E" w14:textId="77777777" w:rsidR="00D66D87" w:rsidRPr="00846052" w:rsidRDefault="00D66D87" w:rsidP="00D66D87">
            <w:pPr>
              <w:pStyle w:val="Akapitzlist"/>
              <w:numPr>
                <w:ilvl w:val="0"/>
                <w:numId w:val="12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kompatybilność z podłożami mineralnymi, w tym tynkami historycznym</w:t>
            </w:r>
          </w:p>
        </w:tc>
      </w:tr>
      <w:tr w:rsidR="00D66D87" w:rsidRPr="000F3EDE" w14:paraId="21D76B67" w14:textId="77777777" w:rsidTr="00846052">
        <w:tc>
          <w:tcPr>
            <w:tcW w:w="2571" w:type="dxa"/>
          </w:tcPr>
          <w:p w14:paraId="43DC5D1F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proofErr w:type="spellStart"/>
            <w:r w:rsidRPr="00846052">
              <w:rPr>
                <w:rFonts w:ascii="Tahoma" w:hAnsi="Tahoma" w:cs="Tahoma"/>
              </w:rPr>
              <w:t>Ledan</w:t>
            </w:r>
            <w:proofErr w:type="spellEnd"/>
            <w:r w:rsidRPr="00846052">
              <w:rPr>
                <w:rFonts w:ascii="Tahoma" w:hAnsi="Tahoma" w:cs="Tahoma"/>
              </w:rPr>
              <w:t xml:space="preserve"> TB 1/Kremer </w:t>
            </w:r>
            <w:proofErr w:type="spellStart"/>
            <w:r w:rsidRPr="00846052">
              <w:rPr>
                <w:rFonts w:ascii="Tahoma" w:hAnsi="Tahoma" w:cs="Tahoma"/>
              </w:rPr>
              <w:t>Pigmente</w:t>
            </w:r>
            <w:proofErr w:type="spellEnd"/>
          </w:p>
        </w:tc>
        <w:tc>
          <w:tcPr>
            <w:tcW w:w="1819" w:type="dxa"/>
          </w:tcPr>
          <w:p w14:paraId="77ED397D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 xml:space="preserve">Preparat iniekcyjny </w:t>
            </w:r>
          </w:p>
        </w:tc>
        <w:tc>
          <w:tcPr>
            <w:tcW w:w="10347" w:type="dxa"/>
          </w:tcPr>
          <w:p w14:paraId="62C35855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Preparat iniekcyjny do stabilizacji i konsolidacji osłabionych struktur murów o minimalnych parametrach:</w:t>
            </w:r>
          </w:p>
          <w:p w14:paraId="7B20B2AE" w14:textId="77777777" w:rsidR="00D66D87" w:rsidRPr="00846052" w:rsidRDefault="00D66D87" w:rsidP="00D66D87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preparat iniekcyjny do stosowania w materiałach mineralnych (mur, cegła, zaprawy)</w:t>
            </w:r>
          </w:p>
          <w:p w14:paraId="3073BC71" w14:textId="77777777" w:rsidR="00D66D87" w:rsidRPr="00846052" w:rsidRDefault="00D66D87" w:rsidP="00D66D87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lepkość umożliwiająca iniekcję w szczeliny o szerokości od ok. 0,2 mm lub równoważna skuteczność iniekcji potwierdzona dokumentacją producenta</w:t>
            </w:r>
          </w:p>
          <w:p w14:paraId="6310FF02" w14:textId="77777777" w:rsidR="00D66D87" w:rsidRPr="00846052" w:rsidRDefault="00D66D87" w:rsidP="00D66D87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lastRenderedPageBreak/>
              <w:t xml:space="preserve">wytrzymałość na ściskanie po związaniu: min. 2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>, dostosowana do podłoża (bez nadmiernego usztywnienia)</w:t>
            </w:r>
          </w:p>
          <w:p w14:paraId="1E13E644" w14:textId="77777777" w:rsidR="00D66D87" w:rsidRPr="00846052" w:rsidRDefault="00D66D87" w:rsidP="00D66D87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przyczepność do podłoży mineralnych: min. 0,2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lub równoważna potwierdzona badaniami</w:t>
            </w:r>
          </w:p>
          <w:p w14:paraId="7C757FD0" w14:textId="77777777" w:rsidR="00D66D87" w:rsidRPr="00846052" w:rsidRDefault="00D66D87" w:rsidP="00D66D87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skurcz: ≤ 1% lub brak powstawania rys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odspojeń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po związaniu </w:t>
            </w:r>
          </w:p>
          <w:p w14:paraId="42B548D8" w14:textId="77777777" w:rsidR="00D66D87" w:rsidRPr="00846052" w:rsidRDefault="00D66D87" w:rsidP="00D66D87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zdolność do wypełniania pustek i stabilizacji struktury materiału (potwierdzona dokumentacją producenta lub badaniami)</w:t>
            </w:r>
          </w:p>
          <w:p w14:paraId="3FB87118" w14:textId="77777777" w:rsidR="00D66D87" w:rsidRPr="00846052" w:rsidRDefault="00D66D87" w:rsidP="00D66D87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kompatybilność z materiałami mineralnymi, w tym historycznymi</w:t>
            </w:r>
          </w:p>
        </w:tc>
      </w:tr>
      <w:tr w:rsidR="00D66D87" w:rsidRPr="000F3EDE" w14:paraId="342CC039" w14:textId="77777777" w:rsidTr="00846052">
        <w:tc>
          <w:tcPr>
            <w:tcW w:w="2571" w:type="dxa"/>
          </w:tcPr>
          <w:p w14:paraId="60402568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lastRenderedPageBreak/>
              <w:t>PLM S</w:t>
            </w:r>
            <w:r w:rsidRPr="00846052">
              <w:rPr>
                <w:rFonts w:ascii="Tahoma" w:hAnsi="Tahoma" w:cs="Tahoma"/>
              </w:rPr>
              <w:t xml:space="preserve"> /Art-Konserwacja</w:t>
            </w:r>
          </w:p>
        </w:tc>
        <w:tc>
          <w:tcPr>
            <w:tcW w:w="1819" w:type="dxa"/>
          </w:tcPr>
          <w:p w14:paraId="17E80291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Preparat iniekcyjny.</w:t>
            </w:r>
          </w:p>
        </w:tc>
        <w:tc>
          <w:tcPr>
            <w:tcW w:w="10347" w:type="dxa"/>
          </w:tcPr>
          <w:p w14:paraId="3AB72AD9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Preparat do wzmocnienia i konsolidacji osłabionych materiałów mineralnych (np. tynków, zapraw, detali architektonicznych) o minimalnych parametrach:</w:t>
            </w:r>
          </w:p>
          <w:p w14:paraId="1FF3AD30" w14:textId="77777777" w:rsidR="00D66D87" w:rsidRPr="00846052" w:rsidRDefault="00D66D87" w:rsidP="00D66D87">
            <w:pPr>
              <w:numPr>
                <w:ilvl w:val="0"/>
                <w:numId w:val="14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przeznaczony do konsolidacji materiałów mineralnych stosowanych w obiektach zabytkowych </w:t>
            </w:r>
          </w:p>
          <w:p w14:paraId="6247C28F" w14:textId="77777777" w:rsidR="00D66D87" w:rsidRPr="00846052" w:rsidRDefault="00D66D87" w:rsidP="00D66D87">
            <w:pPr>
              <w:numPr>
                <w:ilvl w:val="0"/>
                <w:numId w:val="14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zdolność penetracji w strukturę materiału oraz jego wzmocnienia (potwierdzona dokumentacją producenta lub badaniami) </w:t>
            </w:r>
          </w:p>
          <w:p w14:paraId="75FFC3A9" w14:textId="77777777" w:rsidR="00D66D87" w:rsidRPr="00846052" w:rsidRDefault="00D66D87" w:rsidP="00D66D87">
            <w:pPr>
              <w:numPr>
                <w:ilvl w:val="0"/>
                <w:numId w:val="14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wytrzymałość na ściskanie po zastosowaniu: wzrost wytrzymałości materiału lub min. 1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dla wzmocnionej struktury </w:t>
            </w:r>
          </w:p>
          <w:p w14:paraId="700210D2" w14:textId="77777777" w:rsidR="00D66D87" w:rsidRPr="00846052" w:rsidRDefault="00D66D87" w:rsidP="00D66D87">
            <w:pPr>
              <w:numPr>
                <w:ilvl w:val="0"/>
                <w:numId w:val="14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tworzenia szczelnej powłoki powierzchniowej (zachowanie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paroprzepuszczalności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14:paraId="1A4C2DD2" w14:textId="77777777" w:rsidR="00D66D87" w:rsidRPr="00846052" w:rsidRDefault="00D66D87" w:rsidP="00D66D87">
            <w:pPr>
              <w:numPr>
                <w:ilvl w:val="0"/>
                <w:numId w:val="14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zmiana kolorystyki: brak widocznych zmian powierzchni po zastosowaniu </w:t>
            </w:r>
          </w:p>
          <w:p w14:paraId="7786898F" w14:textId="77777777" w:rsidR="00D66D87" w:rsidRPr="00846052" w:rsidRDefault="00D66D87" w:rsidP="00D66D87">
            <w:pPr>
              <w:numPr>
                <w:ilvl w:val="0"/>
                <w:numId w:val="14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kompatybilność z materiałami mineralnymi, w tym historycznymi (brak szkodliwych reakcji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naprężeń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14:paraId="7F581C98" w14:textId="77777777" w:rsidR="00D66D87" w:rsidRPr="00846052" w:rsidRDefault="00D66D87" w:rsidP="00D66D87">
            <w:pPr>
              <w:numPr>
                <w:ilvl w:val="0"/>
                <w:numId w:val="14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odporność na działanie czynników atmosferycznych</w:t>
            </w:r>
          </w:p>
          <w:p w14:paraId="724DF7EA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6D87" w:rsidRPr="000F3EDE" w14:paraId="46AE7A7A" w14:textId="77777777" w:rsidTr="00846052">
        <w:tc>
          <w:tcPr>
            <w:tcW w:w="2571" w:type="dxa"/>
          </w:tcPr>
          <w:p w14:paraId="33D71A0F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Korroplex</w:t>
            </w:r>
            <w:proofErr w:type="spellEnd"/>
            <w:r w:rsidRPr="00846052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846052">
              <w:rPr>
                <w:rFonts w:ascii="Tahoma" w:hAnsi="Tahoma" w:cs="Tahoma"/>
              </w:rPr>
              <w:t>Forch</w:t>
            </w:r>
            <w:proofErr w:type="spellEnd"/>
          </w:p>
        </w:tc>
        <w:tc>
          <w:tcPr>
            <w:tcW w:w="1819" w:type="dxa"/>
          </w:tcPr>
          <w:p w14:paraId="5E0F72A3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Preparat do pasywacji powierzchni metalu</w:t>
            </w:r>
          </w:p>
        </w:tc>
        <w:tc>
          <w:tcPr>
            <w:tcW w:w="10347" w:type="dxa"/>
          </w:tcPr>
          <w:p w14:paraId="11ADB21B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Preparat do pasywacji i zabezpieczenia antykorozyjnego powierzchni metalowych o minimalnych parametrach:</w:t>
            </w:r>
          </w:p>
          <w:p w14:paraId="4F9675F2" w14:textId="77777777" w:rsidR="00D66D87" w:rsidRPr="00846052" w:rsidRDefault="00D66D87" w:rsidP="00D66D87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do pasywacji i zabezpieczenia antykorozyjnego stali lub innych metali żelaznych </w:t>
            </w:r>
          </w:p>
          <w:p w14:paraId="5A37B156" w14:textId="77777777" w:rsidR="00D66D87" w:rsidRPr="00846052" w:rsidRDefault="00D66D87" w:rsidP="00D66D87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przyczepność do podłoża metalowego: min. 1,0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lub równoważna potwierdzona badaniami </w:t>
            </w:r>
          </w:p>
          <w:p w14:paraId="259B03B7" w14:textId="77777777" w:rsidR="00D66D87" w:rsidRPr="00846052" w:rsidRDefault="00D66D87" w:rsidP="00D66D87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skuteczność antykorozyjna potwierdzona badaniami lub dokumentacją producenta (np. badania w komorze solnej lub równoważne) </w:t>
            </w:r>
          </w:p>
          <w:p w14:paraId="46EA444B" w14:textId="77777777" w:rsidR="00D66D87" w:rsidRPr="00846052" w:rsidRDefault="00D66D87" w:rsidP="00D66D87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stosowania na powierzchniach z oznakami korozji (po odpowiednim przygotowaniu podłoża) </w:t>
            </w:r>
          </w:p>
          <w:p w14:paraId="244ACFA8" w14:textId="77777777" w:rsidR="00D66D87" w:rsidRPr="00846052" w:rsidRDefault="00D66D87" w:rsidP="00D66D87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kompatybilność z systemami powłok malarskich (możliwość dalszego malowania bez pogorszenia przyczepności) </w:t>
            </w:r>
          </w:p>
          <w:p w14:paraId="650D34C6" w14:textId="77777777" w:rsidR="00D66D87" w:rsidRPr="00846052" w:rsidRDefault="00D66D87" w:rsidP="00D66D87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odporność powłoki na działanie czynników atmosferycznych</w:t>
            </w:r>
          </w:p>
        </w:tc>
      </w:tr>
      <w:tr w:rsidR="00D66D87" w:rsidRPr="000F3EDE" w14:paraId="2959F450" w14:textId="77777777" w:rsidTr="00846052">
        <w:tc>
          <w:tcPr>
            <w:tcW w:w="2571" w:type="dxa"/>
          </w:tcPr>
          <w:p w14:paraId="2E9D7F66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Sterinol</w:t>
            </w:r>
            <w:proofErr w:type="spellEnd"/>
          </w:p>
        </w:tc>
        <w:tc>
          <w:tcPr>
            <w:tcW w:w="1819" w:type="dxa"/>
          </w:tcPr>
          <w:p w14:paraId="6B2D472A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Środek do dezynfekcji biobójczej ścian.</w:t>
            </w:r>
          </w:p>
        </w:tc>
        <w:tc>
          <w:tcPr>
            <w:tcW w:w="10347" w:type="dxa"/>
          </w:tcPr>
          <w:p w14:paraId="431011AA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Środek do dezynfekcji biobójczej powierzchni ścian (usuwanie grzybów, pleśni i glonów) o minimalnych parametrach:</w:t>
            </w:r>
          </w:p>
          <w:p w14:paraId="5A8286E4" w14:textId="77777777" w:rsidR="00D66D87" w:rsidRPr="00846052" w:rsidRDefault="00D66D87" w:rsidP="00D66D87">
            <w:pPr>
              <w:pStyle w:val="Akapitzlist"/>
              <w:numPr>
                <w:ilvl w:val="0"/>
                <w:numId w:val="16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biobójczy przeznaczony do stosowania na podłożach mineralnych (ściany, tynki) </w:t>
            </w:r>
          </w:p>
          <w:p w14:paraId="5C7DB464" w14:textId="77777777" w:rsidR="00D66D87" w:rsidRPr="00846052" w:rsidRDefault="00D66D87" w:rsidP="00D66D87">
            <w:pPr>
              <w:pStyle w:val="Akapitzlist"/>
              <w:numPr>
                <w:ilvl w:val="0"/>
                <w:numId w:val="16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działanie: grzybobójcze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algobójcze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(skuteczność potwierdzona dokumentacją producenta lub badaniami) </w:t>
            </w:r>
          </w:p>
          <w:p w14:paraId="5D7E38D1" w14:textId="77777777" w:rsidR="00D66D87" w:rsidRPr="00846052" w:rsidRDefault="00D66D87" w:rsidP="00D66D87">
            <w:pPr>
              <w:pStyle w:val="Akapitzlist"/>
              <w:numPr>
                <w:ilvl w:val="0"/>
                <w:numId w:val="16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dopuszczenie do obrotu jako produkt biobójczy zgodnie z obowiązującymi przepisami </w:t>
            </w:r>
          </w:p>
          <w:p w14:paraId="4E56979F" w14:textId="77777777" w:rsidR="00D66D87" w:rsidRPr="00846052" w:rsidRDefault="00D66D87" w:rsidP="00D66D87">
            <w:pPr>
              <w:pStyle w:val="Akapitzlist"/>
              <w:numPr>
                <w:ilvl w:val="0"/>
                <w:numId w:val="16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stosowania na zewnątrz i/lub wewnątrz budynków (zgodnie z zakresem prac) </w:t>
            </w:r>
          </w:p>
          <w:p w14:paraId="6B03859A" w14:textId="77777777" w:rsidR="00D66D87" w:rsidRPr="00846052" w:rsidRDefault="00D66D87" w:rsidP="00D66D87">
            <w:pPr>
              <w:pStyle w:val="Akapitzlist"/>
              <w:numPr>
                <w:ilvl w:val="0"/>
                <w:numId w:val="16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powodowania uszkodzeń lub trwałych przebarwień podłoży mineralnych </w:t>
            </w:r>
          </w:p>
          <w:p w14:paraId="012952CB" w14:textId="77777777" w:rsidR="00D66D87" w:rsidRPr="00846052" w:rsidRDefault="00D66D87" w:rsidP="00D66D87">
            <w:pPr>
              <w:pStyle w:val="Akapitzlist"/>
              <w:numPr>
                <w:ilvl w:val="0"/>
                <w:numId w:val="16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możliwość stosowania przed wykonaniem kolejnych warstw (np. tynków, farb)</w:t>
            </w:r>
          </w:p>
        </w:tc>
      </w:tr>
      <w:tr w:rsidR="00D66D87" w:rsidRPr="000F3EDE" w14:paraId="184993CD" w14:textId="77777777" w:rsidTr="00846052">
        <w:tc>
          <w:tcPr>
            <w:tcW w:w="2571" w:type="dxa"/>
          </w:tcPr>
          <w:p w14:paraId="7AFE6E3D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lastRenderedPageBreak/>
              <w:t>Prewentol</w:t>
            </w:r>
            <w:proofErr w:type="spellEnd"/>
          </w:p>
        </w:tc>
        <w:tc>
          <w:tcPr>
            <w:tcW w:w="1819" w:type="dxa"/>
          </w:tcPr>
          <w:p w14:paraId="0DD802F3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Środek do dezynfekcji biobójczej ścian</w:t>
            </w:r>
          </w:p>
        </w:tc>
        <w:tc>
          <w:tcPr>
            <w:tcW w:w="10347" w:type="dxa"/>
          </w:tcPr>
          <w:p w14:paraId="32F5EBFC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rodek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do dezynfekcji biobójczej powierzchni ścian (usuwanie grzybów, pleśni i glonów) o minimalnych parametrach:</w:t>
            </w:r>
          </w:p>
          <w:p w14:paraId="1F6AF5DF" w14:textId="77777777" w:rsidR="00D66D87" w:rsidRPr="00846052" w:rsidRDefault="00D66D87" w:rsidP="00D66D87">
            <w:pPr>
              <w:numPr>
                <w:ilvl w:val="0"/>
                <w:numId w:val="17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biobójczy przeznaczony do stosowania na podłożach mineralnych (ściany, tynki) </w:t>
            </w:r>
          </w:p>
          <w:p w14:paraId="65671EE3" w14:textId="77777777" w:rsidR="00D66D87" w:rsidRPr="00846052" w:rsidRDefault="00D66D87" w:rsidP="00D66D87">
            <w:pPr>
              <w:numPr>
                <w:ilvl w:val="0"/>
                <w:numId w:val="17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działanie: grzybobójcze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algobójcze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(skuteczność potwierdzona dokumentacją producenta lub badaniami) </w:t>
            </w:r>
          </w:p>
          <w:p w14:paraId="4018D11E" w14:textId="77777777" w:rsidR="00D66D87" w:rsidRPr="00846052" w:rsidRDefault="00D66D87" w:rsidP="00D66D87">
            <w:pPr>
              <w:numPr>
                <w:ilvl w:val="0"/>
                <w:numId w:val="17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dopuszczenie do obrotu jako produkt biobójczy zgodnie z obowiązującymi przepisami </w:t>
            </w:r>
          </w:p>
          <w:p w14:paraId="131B3FE5" w14:textId="77777777" w:rsidR="00D66D87" w:rsidRPr="00846052" w:rsidRDefault="00D66D87" w:rsidP="00D66D87">
            <w:pPr>
              <w:numPr>
                <w:ilvl w:val="0"/>
                <w:numId w:val="17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stosowania na zewnątrz i/lub wewnątrz budynków (zgodnie z zakresem prac) </w:t>
            </w:r>
          </w:p>
          <w:p w14:paraId="176EFF6C" w14:textId="77777777" w:rsidR="00D66D87" w:rsidRPr="00846052" w:rsidRDefault="00D66D87" w:rsidP="00D66D87">
            <w:pPr>
              <w:numPr>
                <w:ilvl w:val="0"/>
                <w:numId w:val="17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powodowania uszkodzeń lub trwałych przebarwień podłoży mineralnych </w:t>
            </w:r>
          </w:p>
        </w:tc>
      </w:tr>
      <w:tr w:rsidR="00D66D87" w:rsidRPr="000F3EDE" w14:paraId="647C41A3" w14:textId="77777777" w:rsidTr="00846052">
        <w:tc>
          <w:tcPr>
            <w:tcW w:w="2571" w:type="dxa"/>
          </w:tcPr>
          <w:p w14:paraId="59B7D079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Lichenicida</w:t>
            </w:r>
            <w:proofErr w:type="spellEnd"/>
          </w:p>
        </w:tc>
        <w:tc>
          <w:tcPr>
            <w:tcW w:w="1819" w:type="dxa"/>
          </w:tcPr>
          <w:p w14:paraId="7BC5AA37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Środek do dezynfekcji biobójczej ścian.</w:t>
            </w:r>
          </w:p>
        </w:tc>
        <w:tc>
          <w:tcPr>
            <w:tcW w:w="10347" w:type="dxa"/>
          </w:tcPr>
          <w:p w14:paraId="691FEE46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Środek do dezynfekcji biobójczej powierzchni ścian (usuwanie grzybów, pleśni i glonów) o minimalnych parametrach:</w:t>
            </w:r>
          </w:p>
          <w:p w14:paraId="0904DBA9" w14:textId="77777777" w:rsidR="00D66D87" w:rsidRPr="00846052" w:rsidRDefault="00D66D87" w:rsidP="00D66D87">
            <w:pPr>
              <w:numPr>
                <w:ilvl w:val="0"/>
                <w:numId w:val="18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biobójczy przeznaczony do stosowania na podłożach mineralnych (ściany, tynki) </w:t>
            </w:r>
          </w:p>
          <w:p w14:paraId="1A6B88E9" w14:textId="77777777" w:rsidR="00D66D87" w:rsidRPr="00846052" w:rsidRDefault="00D66D87" w:rsidP="00D66D87">
            <w:pPr>
              <w:numPr>
                <w:ilvl w:val="0"/>
                <w:numId w:val="18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działanie: grzybobójcze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algobójcze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(skuteczność potwierdzona dokumentacją producenta lub badaniami) </w:t>
            </w:r>
          </w:p>
          <w:p w14:paraId="2A70140F" w14:textId="77777777" w:rsidR="00D66D87" w:rsidRPr="00846052" w:rsidRDefault="00D66D87" w:rsidP="00D66D87">
            <w:pPr>
              <w:numPr>
                <w:ilvl w:val="0"/>
                <w:numId w:val="18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dopuszczenie do obrotu jako produkt biobójczy zgodnie z obowiązującymi przepisami </w:t>
            </w:r>
          </w:p>
          <w:p w14:paraId="28BE4CE1" w14:textId="77777777" w:rsidR="00D66D87" w:rsidRPr="00846052" w:rsidRDefault="00D66D87" w:rsidP="00D66D87">
            <w:pPr>
              <w:numPr>
                <w:ilvl w:val="0"/>
                <w:numId w:val="18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stosowania na zewnątrz i/lub wewnątrz budynków (zgodnie z zakresem prac) </w:t>
            </w:r>
          </w:p>
          <w:p w14:paraId="27982DE1" w14:textId="77777777" w:rsidR="00D66D87" w:rsidRPr="00846052" w:rsidRDefault="00D66D87" w:rsidP="00D66D87">
            <w:pPr>
              <w:numPr>
                <w:ilvl w:val="0"/>
                <w:numId w:val="18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powodowania uszkodzeń lub trwałych przebarwień podłoży mineralnych </w:t>
            </w:r>
          </w:p>
          <w:p w14:paraId="1424D7EC" w14:textId="77777777" w:rsidR="00D66D87" w:rsidRPr="00846052" w:rsidRDefault="00D66D87" w:rsidP="00D66D87">
            <w:pPr>
              <w:numPr>
                <w:ilvl w:val="0"/>
                <w:numId w:val="18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możliwość stosowania przed wykonaniem kolejnych warstw (np. tynków, farb)</w:t>
            </w:r>
          </w:p>
        </w:tc>
      </w:tr>
      <w:tr w:rsidR="00D66D87" w:rsidRPr="000F3EDE" w14:paraId="5F622163" w14:textId="77777777" w:rsidTr="00846052">
        <w:tc>
          <w:tcPr>
            <w:tcW w:w="2571" w:type="dxa"/>
          </w:tcPr>
          <w:p w14:paraId="0DEF004E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Brescciani</w:t>
            </w:r>
            <w:proofErr w:type="spellEnd"/>
          </w:p>
        </w:tc>
        <w:tc>
          <w:tcPr>
            <w:tcW w:w="1819" w:type="dxa"/>
          </w:tcPr>
          <w:p w14:paraId="24EB6E01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 xml:space="preserve">Środków do dezynfekcji i zabezpieczania murów </w:t>
            </w:r>
          </w:p>
        </w:tc>
        <w:tc>
          <w:tcPr>
            <w:tcW w:w="10347" w:type="dxa"/>
          </w:tcPr>
          <w:p w14:paraId="76E7E2A5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Środek do dezynfekcji oraz zabezpieczania murów przed rozwojem mikroorganizmów (grzybów, pleśni, glonów) o minimalnych parametrach:</w:t>
            </w:r>
          </w:p>
          <w:p w14:paraId="38EEBC51" w14:textId="77777777" w:rsidR="00D66D87" w:rsidRPr="00846052" w:rsidRDefault="00D66D87" w:rsidP="00D66D87">
            <w:pPr>
              <w:numPr>
                <w:ilvl w:val="0"/>
                <w:numId w:val="1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biobójczy przeznaczony do stosowania na podłożach mineralnych (mury, tynki) </w:t>
            </w:r>
          </w:p>
          <w:p w14:paraId="39BB4A51" w14:textId="77777777" w:rsidR="00D66D87" w:rsidRPr="00846052" w:rsidRDefault="00D66D87" w:rsidP="00D66D87">
            <w:pPr>
              <w:numPr>
                <w:ilvl w:val="0"/>
                <w:numId w:val="1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działanie: grzybobójcze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algobójcze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oraz ograniczające ponowny rozwój mikroorganizmów (potwierdzone dokumentacją producenta lub badaniami) </w:t>
            </w:r>
          </w:p>
          <w:p w14:paraId="611EC590" w14:textId="77777777" w:rsidR="00D66D87" w:rsidRPr="00846052" w:rsidRDefault="00D66D87" w:rsidP="00D66D87">
            <w:pPr>
              <w:numPr>
                <w:ilvl w:val="0"/>
                <w:numId w:val="1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dopuszczenie do obrotu jako produkt biobójczy zgodnie z obowiązującymi przepisami </w:t>
            </w:r>
          </w:p>
          <w:p w14:paraId="748E11BB" w14:textId="77777777" w:rsidR="00D66D87" w:rsidRPr="00846052" w:rsidRDefault="00D66D87" w:rsidP="00D66D87">
            <w:pPr>
              <w:numPr>
                <w:ilvl w:val="0"/>
                <w:numId w:val="1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stosowania na zewnątrz i/lub wewnątrz budynków (zgodnie z zakresem prac) </w:t>
            </w:r>
          </w:p>
          <w:p w14:paraId="094B2CC5" w14:textId="77777777" w:rsidR="00D66D87" w:rsidRPr="00846052" w:rsidRDefault="00D66D87" w:rsidP="00D66D87">
            <w:pPr>
              <w:numPr>
                <w:ilvl w:val="0"/>
                <w:numId w:val="1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powodowania uszkodzeń lub trwałych przebarwień podłoży mineralnych </w:t>
            </w:r>
          </w:p>
          <w:p w14:paraId="24014288" w14:textId="77777777" w:rsidR="00D66D87" w:rsidRPr="00846052" w:rsidRDefault="00D66D87" w:rsidP="00D66D87">
            <w:pPr>
              <w:numPr>
                <w:ilvl w:val="0"/>
                <w:numId w:val="19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możliwość stosowania jako przygotowanie pod dalsze warstwy lub jako zabezpieczenie powierzchni</w:t>
            </w:r>
          </w:p>
        </w:tc>
      </w:tr>
      <w:tr w:rsidR="00D66D87" w:rsidRPr="000F3EDE" w14:paraId="46BC8BCA" w14:textId="77777777" w:rsidTr="00846052">
        <w:tc>
          <w:tcPr>
            <w:tcW w:w="2571" w:type="dxa"/>
          </w:tcPr>
          <w:p w14:paraId="52A7C5D4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proofErr w:type="spellStart"/>
            <w:r w:rsidRPr="00846052">
              <w:rPr>
                <w:rFonts w:ascii="Tahoma" w:hAnsi="Tahoma" w:cs="Tahoma"/>
                <w:b/>
                <w:bCs/>
              </w:rPr>
              <w:t>Coverax</w:t>
            </w:r>
            <w:proofErr w:type="spellEnd"/>
          </w:p>
        </w:tc>
        <w:tc>
          <w:tcPr>
            <w:tcW w:w="1819" w:type="dxa"/>
          </w:tcPr>
          <w:p w14:paraId="095D4151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Środków do dezynfekcji i zabezpieczania murów przed mikroorganizmami</w:t>
            </w:r>
          </w:p>
        </w:tc>
        <w:tc>
          <w:tcPr>
            <w:tcW w:w="10347" w:type="dxa"/>
          </w:tcPr>
          <w:p w14:paraId="599F7819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Środek do dezynfekcji oraz zabezpieczania murów przed rozwojem mikroorganizmów (grzybów, pleśni, glonów) o minimalnych parametrach:</w:t>
            </w:r>
          </w:p>
          <w:p w14:paraId="55CF2F59" w14:textId="77777777" w:rsidR="00D66D87" w:rsidRPr="00846052" w:rsidRDefault="00D66D87" w:rsidP="00D66D87">
            <w:pPr>
              <w:numPr>
                <w:ilvl w:val="0"/>
                <w:numId w:val="2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preparat biobójczy przeznaczony do stosowania na podłożach mineralnych (mury, tynki) </w:t>
            </w:r>
          </w:p>
          <w:p w14:paraId="08584220" w14:textId="77777777" w:rsidR="00D66D87" w:rsidRPr="00846052" w:rsidRDefault="00D66D87" w:rsidP="00D66D87">
            <w:pPr>
              <w:numPr>
                <w:ilvl w:val="0"/>
                <w:numId w:val="2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działanie: grzybobójcze i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algobójcze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oraz ograniczające ponowny rozwój mikroorganizmów (potwierdzone dokumentacją producenta lub badaniami) </w:t>
            </w:r>
          </w:p>
          <w:p w14:paraId="3CED8278" w14:textId="77777777" w:rsidR="00D66D87" w:rsidRPr="00846052" w:rsidRDefault="00D66D87" w:rsidP="00D66D87">
            <w:pPr>
              <w:numPr>
                <w:ilvl w:val="0"/>
                <w:numId w:val="2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dopuszczenie do obrotu jako produkt biobójczy zgodnie z obowiązującymi przepisami </w:t>
            </w:r>
          </w:p>
          <w:p w14:paraId="7EB2FBF3" w14:textId="77777777" w:rsidR="00D66D87" w:rsidRPr="00846052" w:rsidRDefault="00D66D87" w:rsidP="00D66D87">
            <w:pPr>
              <w:numPr>
                <w:ilvl w:val="0"/>
                <w:numId w:val="2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stosowania na zewnątrz i/lub wewnątrz budynków (zgodnie z zakresem prac) </w:t>
            </w:r>
          </w:p>
          <w:p w14:paraId="3378889F" w14:textId="77777777" w:rsidR="00D66D87" w:rsidRPr="00846052" w:rsidRDefault="00D66D87" w:rsidP="00D66D87">
            <w:pPr>
              <w:numPr>
                <w:ilvl w:val="0"/>
                <w:numId w:val="2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powodowania uszkodzeń lub trwałych przebarwień podłoży mineralnych </w:t>
            </w:r>
          </w:p>
          <w:p w14:paraId="321E129B" w14:textId="77777777" w:rsidR="00D66D87" w:rsidRPr="00846052" w:rsidRDefault="00D66D87" w:rsidP="00D66D87">
            <w:pPr>
              <w:numPr>
                <w:ilvl w:val="0"/>
                <w:numId w:val="20"/>
              </w:numPr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możliwość stosowania jako przygotowanie pod dalsze warstwy lub jako zabezpieczenie powierzchni</w:t>
            </w:r>
          </w:p>
        </w:tc>
      </w:tr>
      <w:tr w:rsidR="00D66D87" w:rsidRPr="000F3EDE" w14:paraId="2C445E51" w14:textId="77777777" w:rsidTr="00846052">
        <w:tc>
          <w:tcPr>
            <w:tcW w:w="2571" w:type="dxa"/>
          </w:tcPr>
          <w:p w14:paraId="4A4BA929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 xml:space="preserve">KEIM </w:t>
            </w:r>
            <w:proofErr w:type="spellStart"/>
            <w:r w:rsidRPr="00846052">
              <w:rPr>
                <w:rFonts w:ascii="Tahoma" w:hAnsi="Tahoma" w:cs="Tahoma"/>
                <w:b/>
                <w:bCs/>
              </w:rPr>
              <w:t>Exklusiv</w:t>
            </w:r>
            <w:proofErr w:type="spellEnd"/>
          </w:p>
        </w:tc>
        <w:tc>
          <w:tcPr>
            <w:tcW w:w="1819" w:type="dxa"/>
          </w:tcPr>
          <w:p w14:paraId="53A56F7F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Mineralna farba elewacyjna</w:t>
            </w:r>
          </w:p>
        </w:tc>
        <w:tc>
          <w:tcPr>
            <w:tcW w:w="10347" w:type="dxa"/>
          </w:tcPr>
          <w:p w14:paraId="0CB340AB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Mineralna farba elewacyjna do podłoży mineralnych, stosowana w obiektach zabytkowych o minimalnych parametrach:</w:t>
            </w:r>
          </w:p>
          <w:p w14:paraId="53C49851" w14:textId="77777777" w:rsidR="00D66D87" w:rsidRPr="00846052" w:rsidRDefault="00D66D87" w:rsidP="00D66D87">
            <w:pPr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farba elewacyjna do podłoży mineralnych (np. na bazie spoiwa krzemianowego,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krzemianowo-organicznego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lub równoważna) </w:t>
            </w:r>
          </w:p>
          <w:p w14:paraId="38143E1B" w14:textId="77777777" w:rsidR="00D66D87" w:rsidRPr="00846052" w:rsidRDefault="00D66D87" w:rsidP="00D66D87">
            <w:pPr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lastRenderedPageBreak/>
              <w:t xml:space="preserve">trwałe związanie z podłożem mineralnym (np. reakcja chemiczna lub równoważna przyczepność potwierdzona dokumentacją producenta) </w:t>
            </w:r>
          </w:p>
          <w:p w14:paraId="7B9F741C" w14:textId="77777777" w:rsidR="00D66D87" w:rsidRPr="00846052" w:rsidRDefault="00D66D87" w:rsidP="00D66D87">
            <w:pPr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współczynnik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Sd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: ≤ 0,1 m lub równoważna wysoka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paroprzepuszczalność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F36625D" w14:textId="77777777" w:rsidR="00D66D87" w:rsidRPr="00846052" w:rsidRDefault="00D66D87" w:rsidP="00D66D87">
            <w:pPr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nasiąkliwość powierzchniowa: ≤ 0,5 kg/m²·h⁰˙⁵ lub równoważna </w:t>
            </w:r>
          </w:p>
          <w:p w14:paraId="54685DEE" w14:textId="77777777" w:rsidR="00D66D87" w:rsidRPr="00846052" w:rsidRDefault="00D66D87" w:rsidP="00D66D87">
            <w:pPr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tworzenia szczelnej powłoki (zachowanie dyfuzji pary wodnej) </w:t>
            </w:r>
          </w:p>
          <w:p w14:paraId="42E84CA0" w14:textId="77777777" w:rsidR="00D66D87" w:rsidRPr="00846052" w:rsidRDefault="00D66D87" w:rsidP="00D66D87">
            <w:pPr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wysoka odporność na działanie czynników atmosferycznych oraz promieniowania UV (trwałość koloru potwierdzona dokumentacją producenta) </w:t>
            </w:r>
          </w:p>
          <w:p w14:paraId="64D075CE" w14:textId="77777777" w:rsidR="00D66D87" w:rsidRPr="00846052" w:rsidRDefault="00D66D87" w:rsidP="00D66D87">
            <w:pPr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kompatybilność z podłożami mineralnymi, w tym historycznymi</w:t>
            </w:r>
          </w:p>
        </w:tc>
      </w:tr>
      <w:tr w:rsidR="00D66D87" w:rsidRPr="000F3EDE" w14:paraId="22E730BA" w14:textId="77777777" w:rsidTr="00846052">
        <w:tc>
          <w:tcPr>
            <w:tcW w:w="2571" w:type="dxa"/>
          </w:tcPr>
          <w:p w14:paraId="55E31447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lastRenderedPageBreak/>
              <w:t xml:space="preserve">KEIM </w:t>
            </w:r>
            <w:proofErr w:type="spellStart"/>
            <w:r w:rsidRPr="00846052">
              <w:rPr>
                <w:rFonts w:ascii="Tahoma" w:hAnsi="Tahoma" w:cs="Tahoma"/>
                <w:b/>
                <w:bCs/>
              </w:rPr>
              <w:t>Avantgarde</w:t>
            </w:r>
            <w:proofErr w:type="spellEnd"/>
          </w:p>
        </w:tc>
        <w:tc>
          <w:tcPr>
            <w:tcW w:w="1819" w:type="dxa"/>
          </w:tcPr>
          <w:p w14:paraId="038DD33F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 xml:space="preserve">Farba elewacyjna </w:t>
            </w:r>
          </w:p>
        </w:tc>
        <w:tc>
          <w:tcPr>
            <w:tcW w:w="10347" w:type="dxa"/>
          </w:tcPr>
          <w:p w14:paraId="72EDB721" w14:textId="77777777" w:rsidR="00D66D87" w:rsidRPr="00846052" w:rsidRDefault="00D66D87" w:rsidP="005C434B">
            <w:p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b/>
                <w:bCs/>
                <w:sz w:val="20"/>
                <w:szCs w:val="20"/>
              </w:rPr>
              <w:t>Przeznaczenie:</w:t>
            </w:r>
            <w:r w:rsidRPr="00846052">
              <w:rPr>
                <w:rFonts w:ascii="Tahoma" w:hAnsi="Tahoma" w:cs="Tahoma"/>
                <w:sz w:val="20"/>
                <w:szCs w:val="20"/>
              </w:rPr>
              <w:br/>
              <w:t>Farba elewacyjna do podłoży mineralnych, stosowana w obiektach zabytkowych i renowacyjnych o minimalnych parametrach:</w:t>
            </w:r>
          </w:p>
          <w:p w14:paraId="24976361" w14:textId="11513950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farba elewacyjna do podłoży mineralnych (na bazie spoiwa krzemianowego,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krzemianowo-organicznego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sol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-silikatowego lub równoważna) </w:t>
            </w:r>
          </w:p>
          <w:p w14:paraId="5ECC336A" w14:textId="77777777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trwałe związanie z podłożem mineralnym (reakcja chemiczna lub równoważna przyczepność potwierdzona dokumentacją producenta) </w:t>
            </w:r>
          </w:p>
          <w:p w14:paraId="5ADD45AB" w14:textId="77777777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współczynnik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Sd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: ≤ 0,1 m lub równoważna wysoka </w:t>
            </w:r>
            <w:proofErr w:type="spellStart"/>
            <w:r w:rsidRPr="00846052">
              <w:rPr>
                <w:rFonts w:ascii="Tahoma" w:hAnsi="Tahoma" w:cs="Tahoma"/>
                <w:sz w:val="20"/>
                <w:szCs w:val="20"/>
              </w:rPr>
              <w:t>paroprzepuszczalność</w:t>
            </w:r>
            <w:proofErr w:type="spellEnd"/>
            <w:r w:rsidRPr="0084605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75C69AFE" w14:textId="77777777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nasiąkliwość powierzchniowa: ≤ 0,5 kg/m²·h⁰˙⁵ lub równoważna </w:t>
            </w:r>
          </w:p>
          <w:p w14:paraId="5F34F55D" w14:textId="77777777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brak tworzenia szczelnej powłoki ograniczającej dyfuzję pary wodnej </w:t>
            </w:r>
          </w:p>
          <w:p w14:paraId="0DB5CAA1" w14:textId="77777777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wysoka odporność na działanie czynników atmosferycznych oraz promieniowania UV (trwałość koloru potwierdzona dokumentacją producenta) </w:t>
            </w:r>
          </w:p>
          <w:p w14:paraId="122B2DCD" w14:textId="77777777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 xml:space="preserve">możliwość stosowania na podłożach mineralnych oraz wcześniej malowanych powłokach (jeżeli wynika to z technologii producenta) </w:t>
            </w:r>
          </w:p>
          <w:p w14:paraId="1D88C480" w14:textId="77777777" w:rsidR="00D66D87" w:rsidRPr="00846052" w:rsidRDefault="00D66D87" w:rsidP="00D66D87">
            <w:pPr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846052">
              <w:rPr>
                <w:rFonts w:ascii="Tahoma" w:hAnsi="Tahoma" w:cs="Tahoma"/>
                <w:sz w:val="20"/>
                <w:szCs w:val="20"/>
              </w:rPr>
              <w:t>kompatybilność z podłożami stosowanymi w obiektach zabytkowych</w:t>
            </w:r>
          </w:p>
        </w:tc>
      </w:tr>
    </w:tbl>
    <w:p w14:paraId="47F10A84" w14:textId="68EEB3A3" w:rsidR="00D66D87" w:rsidRPr="00D66D87" w:rsidRDefault="00D66D87" w:rsidP="00D66D87"/>
    <w:p w14:paraId="052D55EE" w14:textId="77777777" w:rsidR="00D66D87" w:rsidRPr="00846052" w:rsidRDefault="00D66D87" w:rsidP="00D66D87">
      <w:pPr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t>III. ZASADY RÓWNOWAŻNOŚCI KOLORYSTYKI</w:t>
      </w:r>
    </w:p>
    <w:p w14:paraId="3746351F" w14:textId="77777777" w:rsidR="00D66D87" w:rsidRPr="00846052" w:rsidRDefault="00D66D87" w:rsidP="00D66D87">
      <w:pPr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t>1. Obiektywizacja barwy</w:t>
      </w:r>
    </w:p>
    <w:p w14:paraId="1B70BFCE" w14:textId="77777777" w:rsidR="00D66D87" w:rsidRPr="00846052" w:rsidRDefault="00D66D87" w:rsidP="00D66D87">
      <w:pPr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W celu zapewnienia porównywalności ofert oraz zachowania zasad uczciwej konkurencji, Zamawiający przyjmuje system NCS (Natural </w:t>
      </w:r>
      <w:proofErr w:type="spellStart"/>
      <w:r w:rsidRPr="00846052">
        <w:rPr>
          <w:rFonts w:ascii="Tahoma" w:hAnsi="Tahoma" w:cs="Tahoma"/>
        </w:rPr>
        <w:t>Colour</w:t>
      </w:r>
      <w:proofErr w:type="spellEnd"/>
      <w:r w:rsidRPr="00846052">
        <w:rPr>
          <w:rFonts w:ascii="Tahoma" w:hAnsi="Tahoma" w:cs="Tahoma"/>
        </w:rPr>
        <w:t xml:space="preserve"> System) jako podstawowy standard opisu barwy.</w:t>
      </w:r>
    </w:p>
    <w:p w14:paraId="3B7AEBBA" w14:textId="2CBD895A" w:rsidR="00D66D87" w:rsidRDefault="00D66D87" w:rsidP="00D66D87">
      <w:pPr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Wskazania kolorystyczne wynikające z dokumentacji (w tym palet producenta </w:t>
      </w:r>
      <w:proofErr w:type="spellStart"/>
      <w:r w:rsidRPr="00846052">
        <w:rPr>
          <w:rFonts w:ascii="Tahoma" w:hAnsi="Tahoma" w:cs="Tahoma"/>
        </w:rPr>
        <w:t>Keim</w:t>
      </w:r>
      <w:proofErr w:type="spellEnd"/>
      <w:r w:rsidRPr="00846052">
        <w:rPr>
          <w:rFonts w:ascii="Tahoma" w:hAnsi="Tahoma" w:cs="Tahoma"/>
        </w:rPr>
        <w:t>) należy traktować jako barwy wzorcowe wynikające z badań historycznych.</w:t>
      </w:r>
    </w:p>
    <w:p w14:paraId="554370DE" w14:textId="77777777" w:rsidR="00F83F39" w:rsidRPr="00846052" w:rsidRDefault="00F83F39" w:rsidP="00D66D87">
      <w:pPr>
        <w:rPr>
          <w:rFonts w:ascii="Tahoma" w:hAnsi="Tahoma" w:cs="Tahoma"/>
        </w:rPr>
      </w:pPr>
    </w:p>
    <w:p w14:paraId="75B20B4B" w14:textId="77777777" w:rsidR="00D66D87" w:rsidRPr="00846052" w:rsidRDefault="00D66D87" w:rsidP="00F83F39">
      <w:pPr>
        <w:spacing w:after="120"/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lastRenderedPageBreak/>
        <w:t>2. Dopuszczenie równoważności</w:t>
      </w:r>
    </w:p>
    <w:p w14:paraId="4A683C73" w14:textId="77777777" w:rsidR="00D66D87" w:rsidRPr="00846052" w:rsidRDefault="00D66D87" w:rsidP="00846052">
      <w:p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>Zamawiający dopuszcza zastosowanie materiałów równoważnych innych producentów, pod warunkiem:</w:t>
      </w:r>
    </w:p>
    <w:p w14:paraId="1BE3D987" w14:textId="77777777" w:rsidR="00D66D87" w:rsidRPr="00846052" w:rsidRDefault="00D66D87" w:rsidP="00846052">
      <w:pPr>
        <w:numPr>
          <w:ilvl w:val="0"/>
          <w:numId w:val="3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spełnienia wymagań technicznych określonych w OPZ, </w:t>
      </w:r>
    </w:p>
    <w:p w14:paraId="5E7FABBC" w14:textId="2AFFFCB1" w:rsidR="00D66D87" w:rsidRPr="00846052" w:rsidRDefault="00D66D87" w:rsidP="00846052">
      <w:pPr>
        <w:numPr>
          <w:ilvl w:val="0"/>
          <w:numId w:val="3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zapewnienia zgodności kolorystycznej z kodem NCS lub barwą referencyjną. </w:t>
      </w:r>
    </w:p>
    <w:p w14:paraId="62EC3DC9" w14:textId="77777777" w:rsidR="00D66D87" w:rsidRPr="00846052" w:rsidRDefault="00D66D87" w:rsidP="00F83F39">
      <w:pPr>
        <w:spacing w:before="120" w:after="120"/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t>3. Wymagania dotyczące równoważności koloru</w:t>
      </w:r>
    </w:p>
    <w:p w14:paraId="1C0B36D7" w14:textId="77777777" w:rsidR="00D66D87" w:rsidRPr="00846052" w:rsidRDefault="00D66D87" w:rsidP="00846052">
      <w:p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>Kolor należy uznać za równoważny, jeżeli:</w:t>
      </w:r>
    </w:p>
    <w:p w14:paraId="7543A261" w14:textId="77777777" w:rsidR="00D66D87" w:rsidRPr="00846052" w:rsidRDefault="00D66D87" w:rsidP="00846052">
      <w:pPr>
        <w:numPr>
          <w:ilvl w:val="0"/>
          <w:numId w:val="4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odpowiada wskazanemu kodowi NCS lub barwie referencyjnej, </w:t>
      </w:r>
    </w:p>
    <w:p w14:paraId="3EB95FFF" w14:textId="77777777" w:rsidR="00D66D87" w:rsidRPr="00846052" w:rsidRDefault="00D66D87" w:rsidP="00846052">
      <w:pPr>
        <w:numPr>
          <w:ilvl w:val="0"/>
          <w:numId w:val="4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uwzględnia dopuszczalne odchylenia wynikające z technologii materiału i podłoża, </w:t>
      </w:r>
    </w:p>
    <w:p w14:paraId="0978E680" w14:textId="406819B8" w:rsidR="00D66D87" w:rsidRPr="00846052" w:rsidRDefault="00D66D87" w:rsidP="00846052">
      <w:pPr>
        <w:numPr>
          <w:ilvl w:val="0"/>
          <w:numId w:val="4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nie wpływa negatywnie na odbiór wizualny i historyczny obiektu. </w:t>
      </w:r>
    </w:p>
    <w:p w14:paraId="7E2F755E" w14:textId="77777777" w:rsidR="00D66D87" w:rsidRPr="00846052" w:rsidRDefault="00D66D87" w:rsidP="00F83F39">
      <w:pPr>
        <w:spacing w:before="120" w:after="120"/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t>4. Próby kolorystyczne</w:t>
      </w:r>
    </w:p>
    <w:p w14:paraId="7DB6922D" w14:textId="77777777" w:rsidR="00D66D87" w:rsidRPr="00846052" w:rsidRDefault="00D66D87" w:rsidP="00846052">
      <w:p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>Wykonawca zobowiązany jest do wykonania prób kolorystycznych na obiekcie dla każdego koloru.</w:t>
      </w:r>
    </w:p>
    <w:p w14:paraId="6012D270" w14:textId="77777777" w:rsidR="00D66D87" w:rsidRPr="00846052" w:rsidRDefault="00D66D87" w:rsidP="00846052">
      <w:p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>Próby:</w:t>
      </w:r>
    </w:p>
    <w:p w14:paraId="4D2009E6" w14:textId="77777777" w:rsidR="00D66D87" w:rsidRPr="00846052" w:rsidRDefault="00D66D87" w:rsidP="00846052">
      <w:pPr>
        <w:numPr>
          <w:ilvl w:val="0"/>
          <w:numId w:val="5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muszą być wykonane na właściwie przygotowanym podłożu, </w:t>
      </w:r>
    </w:p>
    <w:p w14:paraId="61289604" w14:textId="77777777" w:rsidR="00D66D87" w:rsidRPr="00846052" w:rsidRDefault="00D66D87" w:rsidP="00846052">
      <w:pPr>
        <w:numPr>
          <w:ilvl w:val="0"/>
          <w:numId w:val="5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oceniane są po całkowitym wyschnięciu, </w:t>
      </w:r>
    </w:p>
    <w:p w14:paraId="1CB621B9" w14:textId="33EF4404" w:rsidR="00D66D87" w:rsidRPr="00846052" w:rsidRDefault="00D66D87" w:rsidP="00846052">
      <w:pPr>
        <w:numPr>
          <w:ilvl w:val="0"/>
          <w:numId w:val="5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oceniane są w naturalnym świetle dziennym. </w:t>
      </w:r>
    </w:p>
    <w:p w14:paraId="12388290" w14:textId="77777777" w:rsidR="00D66D87" w:rsidRPr="00846052" w:rsidRDefault="00D66D87" w:rsidP="00F83F39">
      <w:pPr>
        <w:spacing w:before="120" w:after="120"/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t>5. Odbiór i akceptacja</w:t>
      </w:r>
    </w:p>
    <w:p w14:paraId="1CF58550" w14:textId="77777777" w:rsidR="00D66D87" w:rsidRPr="00846052" w:rsidRDefault="00D66D87" w:rsidP="00846052">
      <w:p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>Ostateczna ocena zgodności kolorystycznej następuje w drodze odbioru komisji, w skład której wchodzą:</w:t>
      </w:r>
    </w:p>
    <w:p w14:paraId="12080DFB" w14:textId="77777777" w:rsidR="00D66D87" w:rsidRPr="00846052" w:rsidRDefault="00D66D87" w:rsidP="00846052">
      <w:pPr>
        <w:numPr>
          <w:ilvl w:val="0"/>
          <w:numId w:val="6"/>
        </w:num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 xml:space="preserve">przedstawiciele Zamawiającego, </w:t>
      </w:r>
    </w:p>
    <w:p w14:paraId="5A0D0756" w14:textId="08F720D6" w:rsidR="00D66D87" w:rsidRDefault="00D66D87" w:rsidP="00846052">
      <w:pPr>
        <w:numPr>
          <w:ilvl w:val="0"/>
          <w:numId w:val="6"/>
        </w:numPr>
        <w:spacing w:after="0"/>
        <w:ind w:left="714" w:hanging="357"/>
        <w:rPr>
          <w:rFonts w:ascii="Tahoma" w:hAnsi="Tahoma" w:cs="Tahoma"/>
        </w:rPr>
      </w:pPr>
      <w:r w:rsidRPr="00846052">
        <w:rPr>
          <w:rFonts w:ascii="Tahoma" w:hAnsi="Tahoma" w:cs="Tahoma"/>
        </w:rPr>
        <w:t>Nadzór Konserwatorski</w:t>
      </w:r>
      <w:r w:rsidR="00846052">
        <w:rPr>
          <w:rFonts w:ascii="Tahoma" w:hAnsi="Tahoma" w:cs="Tahoma"/>
        </w:rPr>
        <w:t>,</w:t>
      </w:r>
    </w:p>
    <w:p w14:paraId="79F48165" w14:textId="0551863B" w:rsidR="00846052" w:rsidRPr="00846052" w:rsidRDefault="00846052" w:rsidP="00846052">
      <w:pPr>
        <w:numPr>
          <w:ilvl w:val="0"/>
          <w:numId w:val="6"/>
        </w:numPr>
        <w:ind w:left="714" w:hanging="357"/>
        <w:rPr>
          <w:rFonts w:ascii="Tahoma" w:hAnsi="Tahoma" w:cs="Tahoma"/>
        </w:rPr>
      </w:pPr>
      <w:r>
        <w:rPr>
          <w:rFonts w:ascii="Tahoma" w:hAnsi="Tahoma" w:cs="Tahoma"/>
        </w:rPr>
        <w:t>Lubuski Wojewódzki Konserwator Zabytków.</w:t>
      </w:r>
    </w:p>
    <w:p w14:paraId="51C314F4" w14:textId="123D868A" w:rsidR="00D66D87" w:rsidRDefault="00D66D87" w:rsidP="00846052">
      <w:pPr>
        <w:spacing w:after="0"/>
        <w:rPr>
          <w:rFonts w:ascii="Tahoma" w:hAnsi="Tahoma" w:cs="Tahoma"/>
        </w:rPr>
      </w:pPr>
      <w:r w:rsidRPr="00846052">
        <w:rPr>
          <w:rFonts w:ascii="Tahoma" w:hAnsi="Tahoma" w:cs="Tahoma"/>
        </w:rPr>
        <w:t>Akceptacja nadzoru konserwatorskiego jest warunkiem dopuszczenia do realizacji robót.</w:t>
      </w:r>
    </w:p>
    <w:p w14:paraId="6C989160" w14:textId="77777777" w:rsidR="00846052" w:rsidRDefault="00846052" w:rsidP="00846052">
      <w:pPr>
        <w:spacing w:after="0"/>
        <w:rPr>
          <w:rFonts w:ascii="Tahoma" w:hAnsi="Tahoma" w:cs="Tahoma"/>
        </w:rPr>
      </w:pPr>
    </w:p>
    <w:p w14:paraId="1A3B24A3" w14:textId="77777777" w:rsidR="00846052" w:rsidRDefault="00846052" w:rsidP="00846052">
      <w:pPr>
        <w:spacing w:after="0"/>
        <w:rPr>
          <w:rFonts w:ascii="Tahoma" w:hAnsi="Tahoma" w:cs="Tahoma"/>
        </w:rPr>
      </w:pPr>
    </w:p>
    <w:p w14:paraId="70C20180" w14:textId="77777777" w:rsidR="00F83F39" w:rsidRDefault="00F83F39" w:rsidP="00D66D87">
      <w:pPr>
        <w:rPr>
          <w:rFonts w:ascii="Tahoma" w:hAnsi="Tahoma" w:cs="Tahoma"/>
          <w:b/>
          <w:bCs/>
        </w:rPr>
      </w:pPr>
    </w:p>
    <w:p w14:paraId="4407BD9E" w14:textId="21F28AC2" w:rsidR="00D66D87" w:rsidRPr="00846052" w:rsidRDefault="00D66D87" w:rsidP="00D66D87">
      <w:pPr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lastRenderedPageBreak/>
        <w:t>IV. TABELA KOLORYSTYKI I RÓWNOWAŻNOŚCI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4"/>
        <w:gridCol w:w="2672"/>
        <w:gridCol w:w="4625"/>
        <w:gridCol w:w="4183"/>
      </w:tblGrid>
      <w:tr w:rsidR="00D66D87" w:rsidRPr="00D912DD" w14:paraId="3336BB84" w14:textId="77777777" w:rsidTr="005C434B">
        <w:tc>
          <w:tcPr>
            <w:tcW w:w="2514" w:type="dxa"/>
            <w:shd w:val="clear" w:color="auto" w:fill="D0CECE" w:themeFill="background2" w:themeFillShade="E6"/>
            <w:vAlign w:val="center"/>
          </w:tcPr>
          <w:p w14:paraId="54239706" w14:textId="77777777" w:rsidR="00D66D87" w:rsidRPr="00D912DD" w:rsidRDefault="00D66D87" w:rsidP="005C434B">
            <w:pPr>
              <w:jc w:val="center"/>
              <w:rPr>
                <w:rFonts w:cstheme="minorHAnsi"/>
                <w:b/>
                <w:bCs/>
              </w:rPr>
            </w:pPr>
            <w:r w:rsidRPr="00D912DD">
              <w:rPr>
                <w:rFonts w:cstheme="minorHAnsi"/>
                <w:b/>
                <w:bCs/>
              </w:rPr>
              <w:t>Element obiektu</w:t>
            </w:r>
          </w:p>
        </w:tc>
        <w:tc>
          <w:tcPr>
            <w:tcW w:w="2672" w:type="dxa"/>
            <w:shd w:val="clear" w:color="auto" w:fill="D0CECE" w:themeFill="background2" w:themeFillShade="E6"/>
            <w:vAlign w:val="center"/>
          </w:tcPr>
          <w:p w14:paraId="74659FE3" w14:textId="77777777" w:rsidR="00D66D87" w:rsidRPr="00D912DD" w:rsidRDefault="00D66D87" w:rsidP="005C434B">
            <w:pPr>
              <w:jc w:val="center"/>
              <w:rPr>
                <w:rFonts w:cstheme="minorHAnsi"/>
                <w:b/>
                <w:bCs/>
              </w:rPr>
            </w:pPr>
            <w:r w:rsidRPr="00D912DD">
              <w:rPr>
                <w:rFonts w:cstheme="minorHAnsi"/>
                <w:b/>
                <w:bCs/>
              </w:rPr>
              <w:t>Kolor wg dokumentacji</w:t>
            </w:r>
          </w:p>
          <w:p w14:paraId="79B3B814" w14:textId="77777777" w:rsidR="00D66D87" w:rsidRPr="00D912DD" w:rsidRDefault="00D66D87" w:rsidP="005C434B">
            <w:pPr>
              <w:jc w:val="center"/>
              <w:rPr>
                <w:rFonts w:cstheme="minorHAnsi"/>
                <w:b/>
                <w:bCs/>
              </w:rPr>
            </w:pPr>
            <w:r w:rsidRPr="00D912DD">
              <w:rPr>
                <w:rFonts w:cstheme="minorHAnsi"/>
                <w:b/>
                <w:bCs/>
              </w:rPr>
              <w:t xml:space="preserve">(Referencyjny: </w:t>
            </w:r>
            <w:proofErr w:type="spellStart"/>
            <w:r w:rsidRPr="00D912DD">
              <w:rPr>
                <w:rFonts w:cstheme="minorHAnsi"/>
                <w:b/>
                <w:bCs/>
              </w:rPr>
              <w:t>Keim</w:t>
            </w:r>
            <w:proofErr w:type="spellEnd"/>
            <w:r w:rsidRPr="00D912DD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4625" w:type="dxa"/>
            <w:shd w:val="clear" w:color="auto" w:fill="D0CECE" w:themeFill="background2" w:themeFillShade="E6"/>
            <w:vAlign w:val="center"/>
          </w:tcPr>
          <w:p w14:paraId="7EA9D7C4" w14:textId="77777777" w:rsidR="00D66D87" w:rsidRPr="00D912DD" w:rsidRDefault="00D66D87" w:rsidP="005C434B">
            <w:pPr>
              <w:jc w:val="center"/>
              <w:rPr>
                <w:rFonts w:cstheme="minorHAnsi"/>
                <w:b/>
                <w:bCs/>
              </w:rPr>
            </w:pPr>
            <w:r w:rsidRPr="00D912DD">
              <w:rPr>
                <w:rFonts w:cstheme="minorHAnsi"/>
                <w:b/>
                <w:bCs/>
              </w:rPr>
              <w:t xml:space="preserve">Kolor wg Projektu Wykonawczego </w:t>
            </w:r>
          </w:p>
          <w:p w14:paraId="54C767D3" w14:textId="77777777" w:rsidR="00D66D87" w:rsidRPr="00D912DD" w:rsidRDefault="00D66D87" w:rsidP="005C434B">
            <w:pPr>
              <w:jc w:val="center"/>
              <w:rPr>
                <w:rFonts w:cstheme="minorHAnsi"/>
                <w:b/>
                <w:bCs/>
              </w:rPr>
            </w:pPr>
            <w:r w:rsidRPr="00D912DD">
              <w:rPr>
                <w:rFonts w:cstheme="minorHAnsi"/>
                <w:b/>
                <w:bCs/>
              </w:rPr>
              <w:t>(Standard: NCS S)</w:t>
            </w:r>
          </w:p>
        </w:tc>
        <w:tc>
          <w:tcPr>
            <w:tcW w:w="4183" w:type="dxa"/>
            <w:shd w:val="clear" w:color="auto" w:fill="D0CECE" w:themeFill="background2" w:themeFillShade="E6"/>
            <w:vAlign w:val="center"/>
          </w:tcPr>
          <w:p w14:paraId="00E6D99B" w14:textId="77777777" w:rsidR="00D66D87" w:rsidRPr="00D912DD" w:rsidRDefault="00D66D87" w:rsidP="005C434B">
            <w:pPr>
              <w:jc w:val="center"/>
              <w:rPr>
                <w:rFonts w:cstheme="minorHAnsi"/>
                <w:b/>
                <w:bCs/>
              </w:rPr>
            </w:pPr>
            <w:r w:rsidRPr="00D912DD">
              <w:rPr>
                <w:rFonts w:cstheme="minorHAnsi"/>
                <w:b/>
                <w:bCs/>
              </w:rPr>
              <w:t>Wymagania dotyczące równoważności i odbioru</w:t>
            </w:r>
          </w:p>
        </w:tc>
      </w:tr>
      <w:tr w:rsidR="00D66D87" w:rsidRPr="00D912DD" w14:paraId="36061F81" w14:textId="77777777" w:rsidTr="005C434B">
        <w:tc>
          <w:tcPr>
            <w:tcW w:w="2514" w:type="dxa"/>
            <w:vMerge w:val="restart"/>
          </w:tcPr>
          <w:p w14:paraId="55C4973C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Elementy sztukatorskie elewacji  budynku</w:t>
            </w:r>
          </w:p>
        </w:tc>
        <w:tc>
          <w:tcPr>
            <w:tcW w:w="2672" w:type="dxa"/>
          </w:tcPr>
          <w:p w14:paraId="71EACDCB" w14:textId="77777777" w:rsidR="00D66D87" w:rsidRPr="00846052" w:rsidRDefault="00D66D87" w:rsidP="00D66D87">
            <w:pPr>
              <w:spacing w:line="259" w:lineRule="auto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9253, 9095</w:t>
            </w:r>
          </w:p>
        </w:tc>
        <w:tc>
          <w:tcPr>
            <w:tcW w:w="4625" w:type="dxa"/>
          </w:tcPr>
          <w:p w14:paraId="57E5E9F8" w14:textId="77777777" w:rsidR="00D66D87" w:rsidRPr="00846052" w:rsidRDefault="00D66D87" w:rsidP="00D66D87">
            <w:pPr>
              <w:spacing w:line="259" w:lineRule="auto"/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2020-Y30R</w:t>
            </w:r>
            <w:r w:rsidRPr="00846052">
              <w:rPr>
                <w:rFonts w:ascii="Tahoma" w:hAnsi="Tahoma" w:cs="Tahoma"/>
                <w:lang w:val="en-US"/>
              </w:rPr>
              <w:t xml:space="preserve"> (R:218 G:198 B:174), </w:t>
            </w:r>
          </w:p>
          <w:p w14:paraId="2A4DA770" w14:textId="77777777" w:rsidR="00D66D87" w:rsidRPr="00846052" w:rsidRDefault="00D66D87" w:rsidP="00D66D87">
            <w:pPr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1510-Y30R</w:t>
            </w:r>
            <w:r w:rsidRPr="00846052">
              <w:rPr>
                <w:rFonts w:ascii="Tahoma" w:hAnsi="Tahoma" w:cs="Tahoma"/>
                <w:lang w:val="en-US"/>
              </w:rPr>
              <w:t xml:space="preserve"> (R:233 G:213 B:179)</w:t>
            </w:r>
          </w:p>
        </w:tc>
        <w:tc>
          <w:tcPr>
            <w:tcW w:w="4183" w:type="dxa"/>
            <w:vMerge w:val="restart"/>
          </w:tcPr>
          <w:p w14:paraId="001D2D16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Kolor należy uznać za równoważny, jeżeli odpowiada wskazanemu kodowi NCS lub referencyjnej barwie producenta (</w:t>
            </w:r>
            <w:proofErr w:type="spellStart"/>
            <w:r w:rsidRPr="00846052">
              <w:rPr>
                <w:rFonts w:ascii="Tahoma" w:hAnsi="Tahoma" w:cs="Tahoma"/>
              </w:rPr>
              <w:t>Keim</w:t>
            </w:r>
            <w:proofErr w:type="spellEnd"/>
            <w:r w:rsidRPr="00846052">
              <w:rPr>
                <w:rFonts w:ascii="Tahoma" w:hAnsi="Tahoma" w:cs="Tahoma"/>
              </w:rPr>
              <w:t>), z dopuszczalnymi odchyleniami wynikającymi z technologii materiału i podłoża, niewpływającymi na odbiór wizualny i historyczny obiektu</w:t>
            </w:r>
          </w:p>
          <w:p w14:paraId="7A575DB6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Ocenę zgodności kolorystycznej należy przeprowadzać na próbkach wykonanych na obiekcie, po całkowitym wyschnięciu farby, w warunkach naturalnego oświetlenia dziennego.</w:t>
            </w:r>
          </w:p>
          <w:p w14:paraId="04B2FC38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Dopuszcza się niewielkie różnice wynikające z technologii materiału, podłoża oraz sposobu aplikacji, pod warunkiem zachowania zgodności kolorystycznej w odbiorze wizualnym.</w:t>
            </w:r>
          </w:p>
          <w:p w14:paraId="61829DD3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Ostateczna ocena równoważności barwy należy do Zamawiającego i Nadzoru Konserwatorskiego.</w:t>
            </w:r>
          </w:p>
          <w:p w14:paraId="6AED8B4E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</w:p>
        </w:tc>
      </w:tr>
      <w:tr w:rsidR="00D66D87" w:rsidRPr="00601C28" w14:paraId="08CD6E94" w14:textId="77777777" w:rsidTr="005C434B">
        <w:tc>
          <w:tcPr>
            <w:tcW w:w="2514" w:type="dxa"/>
            <w:vMerge/>
          </w:tcPr>
          <w:p w14:paraId="23F36E8F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672" w:type="dxa"/>
          </w:tcPr>
          <w:p w14:paraId="4CE51D7E" w14:textId="77777777" w:rsidR="00D66D87" w:rsidRPr="00846052" w:rsidRDefault="00D66D87" w:rsidP="00D66D87">
            <w:pPr>
              <w:spacing w:line="259" w:lineRule="auto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9255, 9096</w:t>
            </w:r>
          </w:p>
        </w:tc>
        <w:tc>
          <w:tcPr>
            <w:tcW w:w="4625" w:type="dxa"/>
          </w:tcPr>
          <w:p w14:paraId="0CA957CC" w14:textId="77777777" w:rsidR="00D66D87" w:rsidRPr="00846052" w:rsidRDefault="00D66D87" w:rsidP="00D66D87">
            <w:pPr>
              <w:spacing w:line="259" w:lineRule="auto"/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1505-Y40R</w:t>
            </w:r>
            <w:r w:rsidRPr="00846052">
              <w:rPr>
                <w:rFonts w:ascii="Tahoma" w:hAnsi="Tahoma" w:cs="Tahoma"/>
                <w:lang w:val="en-US"/>
              </w:rPr>
              <w:t xml:space="preserve"> (R:226 G:213 B:194), </w:t>
            </w:r>
          </w:p>
          <w:p w14:paraId="5799EB99" w14:textId="77777777" w:rsidR="00D66D87" w:rsidRPr="00846052" w:rsidRDefault="00D66D87" w:rsidP="00D66D87">
            <w:pPr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1010-Y20R</w:t>
            </w:r>
            <w:r w:rsidRPr="00846052">
              <w:rPr>
                <w:rFonts w:ascii="Tahoma" w:hAnsi="Tahoma" w:cs="Tahoma"/>
                <w:lang w:val="en-US"/>
              </w:rPr>
              <w:t xml:space="preserve"> (R:234 G:221 B:200)</w:t>
            </w:r>
          </w:p>
        </w:tc>
        <w:tc>
          <w:tcPr>
            <w:tcW w:w="4183" w:type="dxa"/>
            <w:vMerge/>
          </w:tcPr>
          <w:p w14:paraId="46F03927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  <w:lang w:val="en-US"/>
              </w:rPr>
            </w:pPr>
          </w:p>
        </w:tc>
      </w:tr>
      <w:tr w:rsidR="00D66D87" w:rsidRPr="00601C28" w14:paraId="16CD870B" w14:textId="77777777" w:rsidTr="005C434B">
        <w:tc>
          <w:tcPr>
            <w:tcW w:w="2514" w:type="dxa"/>
            <w:vMerge/>
          </w:tcPr>
          <w:p w14:paraId="4C17DC56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  <w:lang w:val="en-US"/>
              </w:rPr>
            </w:pPr>
          </w:p>
        </w:tc>
        <w:tc>
          <w:tcPr>
            <w:tcW w:w="2672" w:type="dxa"/>
          </w:tcPr>
          <w:p w14:paraId="4A6CAE67" w14:textId="77777777" w:rsidR="00D66D87" w:rsidRPr="00846052" w:rsidRDefault="00D66D87" w:rsidP="00D66D87">
            <w:pPr>
              <w:spacing w:line="259" w:lineRule="auto"/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9437, 9357</w:t>
            </w:r>
          </w:p>
        </w:tc>
        <w:tc>
          <w:tcPr>
            <w:tcW w:w="4625" w:type="dxa"/>
          </w:tcPr>
          <w:p w14:paraId="466B731E" w14:textId="77777777" w:rsidR="00D66D87" w:rsidRPr="00846052" w:rsidRDefault="00D66D87" w:rsidP="00D66D87">
            <w:pPr>
              <w:spacing w:line="259" w:lineRule="auto"/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1005-G60Y</w:t>
            </w:r>
            <w:r w:rsidRPr="00846052">
              <w:rPr>
                <w:rFonts w:ascii="Tahoma" w:hAnsi="Tahoma" w:cs="Tahoma"/>
                <w:lang w:val="en-US"/>
              </w:rPr>
              <w:t xml:space="preserve"> (R:231 G:230 B:220), </w:t>
            </w:r>
          </w:p>
          <w:p w14:paraId="232C2D9A" w14:textId="77777777" w:rsidR="00D66D87" w:rsidRPr="00846052" w:rsidRDefault="00D66D87" w:rsidP="00D66D87">
            <w:pPr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1005-Y10R</w:t>
            </w:r>
            <w:r w:rsidRPr="00846052">
              <w:rPr>
                <w:rFonts w:ascii="Tahoma" w:hAnsi="Tahoma" w:cs="Tahoma"/>
                <w:lang w:val="en-US"/>
              </w:rPr>
              <w:t xml:space="preserve"> (R:232 G:226 B:211)</w:t>
            </w:r>
          </w:p>
        </w:tc>
        <w:tc>
          <w:tcPr>
            <w:tcW w:w="4183" w:type="dxa"/>
            <w:vMerge/>
          </w:tcPr>
          <w:p w14:paraId="70DE2F67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  <w:lang w:val="en-US"/>
              </w:rPr>
            </w:pPr>
          </w:p>
        </w:tc>
      </w:tr>
      <w:tr w:rsidR="00D66D87" w:rsidRPr="00D912DD" w14:paraId="4972A04B" w14:textId="77777777" w:rsidTr="005C434B">
        <w:tc>
          <w:tcPr>
            <w:tcW w:w="2514" w:type="dxa"/>
            <w:vAlign w:val="center"/>
          </w:tcPr>
          <w:p w14:paraId="65C277F4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Otwór wejściowy</w:t>
            </w:r>
          </w:p>
        </w:tc>
        <w:tc>
          <w:tcPr>
            <w:tcW w:w="2672" w:type="dxa"/>
            <w:vAlign w:val="center"/>
          </w:tcPr>
          <w:p w14:paraId="7080A600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</w:rPr>
              <w:t>9448</w:t>
            </w:r>
          </w:p>
        </w:tc>
        <w:tc>
          <w:tcPr>
            <w:tcW w:w="4625" w:type="dxa"/>
          </w:tcPr>
          <w:p w14:paraId="126D5074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3010-B30G</w:t>
            </w:r>
            <w:r w:rsidRPr="00846052">
              <w:rPr>
                <w:rFonts w:ascii="Tahoma" w:hAnsi="Tahoma" w:cs="Tahoma"/>
              </w:rPr>
              <w:t xml:space="preserve"> (R:138 G:177 B:180)</w:t>
            </w:r>
          </w:p>
        </w:tc>
        <w:tc>
          <w:tcPr>
            <w:tcW w:w="4183" w:type="dxa"/>
            <w:vMerge/>
          </w:tcPr>
          <w:p w14:paraId="06B42EC3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D66D87" w:rsidRPr="00D912DD" w14:paraId="4CF4A785" w14:textId="77777777" w:rsidTr="005C434B">
        <w:tc>
          <w:tcPr>
            <w:tcW w:w="2514" w:type="dxa"/>
            <w:vAlign w:val="center"/>
          </w:tcPr>
          <w:p w14:paraId="4D7C3297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Opaska wokół otworu wejściowego</w:t>
            </w:r>
          </w:p>
        </w:tc>
        <w:tc>
          <w:tcPr>
            <w:tcW w:w="2672" w:type="dxa"/>
            <w:vAlign w:val="center"/>
          </w:tcPr>
          <w:p w14:paraId="30ADA06D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</w:rPr>
              <w:t>9454</w:t>
            </w:r>
          </w:p>
        </w:tc>
        <w:tc>
          <w:tcPr>
            <w:tcW w:w="4625" w:type="dxa"/>
          </w:tcPr>
          <w:p w14:paraId="0FF039B6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1005-G20Y</w:t>
            </w:r>
            <w:r w:rsidRPr="00846052">
              <w:rPr>
                <w:rFonts w:ascii="Tahoma" w:hAnsi="Tahoma" w:cs="Tahoma"/>
              </w:rPr>
              <w:t xml:space="preserve"> (R:197 G:211 B:208)</w:t>
            </w:r>
          </w:p>
        </w:tc>
        <w:tc>
          <w:tcPr>
            <w:tcW w:w="4183" w:type="dxa"/>
            <w:vMerge/>
          </w:tcPr>
          <w:p w14:paraId="0DE2B2DE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D66D87" w:rsidRPr="00601C28" w14:paraId="7471FC91" w14:textId="77777777" w:rsidTr="005C434B">
        <w:tc>
          <w:tcPr>
            <w:tcW w:w="2514" w:type="dxa"/>
            <w:vAlign w:val="center"/>
          </w:tcPr>
          <w:p w14:paraId="60CB6DFC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</w:rPr>
              <w:t>Stolarka okienna</w:t>
            </w:r>
          </w:p>
        </w:tc>
        <w:tc>
          <w:tcPr>
            <w:tcW w:w="2672" w:type="dxa"/>
            <w:vAlign w:val="center"/>
          </w:tcPr>
          <w:p w14:paraId="77474020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9451</w:t>
            </w:r>
            <w:r w:rsidRPr="00846052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846052">
              <w:rPr>
                <w:rFonts w:ascii="Tahoma" w:hAnsi="Tahoma" w:cs="Tahoma"/>
                <w:lang w:val="en-US"/>
              </w:rPr>
              <w:t>lub</w:t>
            </w:r>
            <w:proofErr w:type="spellEnd"/>
            <w:r w:rsidRPr="00846052">
              <w:rPr>
                <w:rFonts w:ascii="Tahoma" w:hAnsi="Tahoma" w:cs="Tahoma"/>
                <w:lang w:val="en-US"/>
              </w:rPr>
              <w:t xml:space="preserve"> </w:t>
            </w:r>
            <w:r w:rsidRPr="00846052">
              <w:rPr>
                <w:rFonts w:ascii="Tahoma" w:hAnsi="Tahoma" w:cs="Tahoma"/>
                <w:b/>
                <w:bCs/>
                <w:lang w:val="en-US"/>
              </w:rPr>
              <w:t xml:space="preserve">9437 </w:t>
            </w:r>
          </w:p>
        </w:tc>
        <w:tc>
          <w:tcPr>
            <w:tcW w:w="4625" w:type="dxa"/>
            <w:vAlign w:val="center"/>
          </w:tcPr>
          <w:p w14:paraId="0373F4D4" w14:textId="77777777" w:rsidR="00D66D87" w:rsidRPr="00846052" w:rsidRDefault="00D66D87" w:rsidP="005C434B">
            <w:pPr>
              <w:tabs>
                <w:tab w:val="num" w:pos="1440"/>
              </w:tabs>
              <w:jc w:val="both"/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2005-B80G</w:t>
            </w:r>
            <w:r w:rsidRPr="00846052">
              <w:rPr>
                <w:rFonts w:ascii="Tahoma" w:hAnsi="Tahoma" w:cs="Tahoma"/>
                <w:lang w:val="en-US"/>
              </w:rPr>
              <w:t xml:space="preserve"> (R:170 G:194 B:194) </w:t>
            </w:r>
            <w:proofErr w:type="spellStart"/>
            <w:r w:rsidRPr="00846052">
              <w:rPr>
                <w:rFonts w:ascii="Tahoma" w:hAnsi="Tahoma" w:cs="Tahoma"/>
                <w:lang w:val="en-US"/>
              </w:rPr>
              <w:t>lub</w:t>
            </w:r>
            <w:proofErr w:type="spellEnd"/>
          </w:p>
          <w:p w14:paraId="12841D65" w14:textId="77777777" w:rsidR="00D66D87" w:rsidRPr="00846052" w:rsidRDefault="00D66D87" w:rsidP="005C434B">
            <w:pPr>
              <w:tabs>
                <w:tab w:val="num" w:pos="1440"/>
              </w:tabs>
              <w:jc w:val="both"/>
              <w:rPr>
                <w:rFonts w:ascii="Tahoma" w:hAnsi="Tahoma" w:cs="Tahoma"/>
                <w:lang w:val="en-US"/>
              </w:rPr>
            </w:pPr>
            <w:r w:rsidRPr="00846052">
              <w:rPr>
                <w:rFonts w:ascii="Tahoma" w:hAnsi="Tahoma" w:cs="Tahoma"/>
                <w:b/>
                <w:bCs/>
                <w:lang w:val="en-US"/>
              </w:rPr>
              <w:t>1005-G60Y</w:t>
            </w:r>
            <w:r w:rsidRPr="00846052">
              <w:rPr>
                <w:rFonts w:ascii="Tahoma" w:hAnsi="Tahoma" w:cs="Tahoma"/>
                <w:lang w:val="en-US"/>
              </w:rPr>
              <w:t xml:space="preserve"> (R:231 G:230 B:220)</w:t>
            </w:r>
          </w:p>
          <w:p w14:paraId="71685DE4" w14:textId="77777777" w:rsidR="00D66D87" w:rsidRPr="00846052" w:rsidRDefault="00D66D87" w:rsidP="005C434B">
            <w:pPr>
              <w:tabs>
                <w:tab w:val="num" w:pos="1440"/>
              </w:tabs>
              <w:jc w:val="both"/>
              <w:rPr>
                <w:rFonts w:ascii="Tahoma" w:hAnsi="Tahoma" w:cs="Tahoma"/>
                <w:b/>
                <w:bCs/>
                <w:lang w:val="en-US"/>
              </w:rPr>
            </w:pPr>
          </w:p>
        </w:tc>
        <w:tc>
          <w:tcPr>
            <w:tcW w:w="4183" w:type="dxa"/>
            <w:vMerge/>
            <w:vAlign w:val="center"/>
          </w:tcPr>
          <w:p w14:paraId="4BE6E87E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  <w:lang w:val="en-US"/>
              </w:rPr>
            </w:pPr>
          </w:p>
        </w:tc>
      </w:tr>
      <w:tr w:rsidR="00D66D87" w:rsidRPr="00D912DD" w14:paraId="78D7640E" w14:textId="77777777" w:rsidTr="005C434B">
        <w:tc>
          <w:tcPr>
            <w:tcW w:w="2514" w:type="dxa"/>
          </w:tcPr>
          <w:p w14:paraId="53F33BDD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</w:rPr>
              <w:t>Stolarka drzwiowa</w:t>
            </w:r>
          </w:p>
        </w:tc>
        <w:tc>
          <w:tcPr>
            <w:tcW w:w="2672" w:type="dxa"/>
          </w:tcPr>
          <w:p w14:paraId="354C6A6C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 xml:space="preserve">079 </w:t>
            </w:r>
            <w:r w:rsidRPr="00846052">
              <w:rPr>
                <w:rFonts w:ascii="Tahoma" w:hAnsi="Tahoma" w:cs="Tahoma"/>
              </w:rPr>
              <w:t>lub</w:t>
            </w:r>
            <w:r w:rsidRPr="00846052">
              <w:rPr>
                <w:rFonts w:ascii="Tahoma" w:hAnsi="Tahoma" w:cs="Tahoma"/>
                <w:b/>
                <w:bCs/>
              </w:rPr>
              <w:t xml:space="preserve"> 094</w:t>
            </w:r>
          </w:p>
        </w:tc>
        <w:tc>
          <w:tcPr>
            <w:tcW w:w="4625" w:type="dxa"/>
          </w:tcPr>
          <w:p w14:paraId="4F9B829B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 xml:space="preserve">3010-B30G </w:t>
            </w:r>
            <w:r w:rsidRPr="00846052">
              <w:rPr>
                <w:rFonts w:ascii="Tahoma" w:hAnsi="Tahoma" w:cs="Tahoma"/>
              </w:rPr>
              <w:t>(R:124 G:160 B:175) lub</w:t>
            </w:r>
          </w:p>
          <w:p w14:paraId="1BEE5831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4010-B10G</w:t>
            </w:r>
            <w:r w:rsidRPr="00846052">
              <w:rPr>
                <w:rFonts w:ascii="Tahoma" w:hAnsi="Tahoma" w:cs="Tahoma"/>
              </w:rPr>
              <w:t xml:space="preserve"> (R:129 G:152 B:160)</w:t>
            </w:r>
          </w:p>
        </w:tc>
        <w:tc>
          <w:tcPr>
            <w:tcW w:w="4183" w:type="dxa"/>
            <w:vMerge/>
          </w:tcPr>
          <w:p w14:paraId="21BA0826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D66D87" w:rsidRPr="00D912DD" w14:paraId="273E422D" w14:textId="77777777" w:rsidTr="005C434B">
        <w:tc>
          <w:tcPr>
            <w:tcW w:w="2514" w:type="dxa"/>
          </w:tcPr>
          <w:p w14:paraId="7A266D83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Ściany nawy kaplicy</w:t>
            </w:r>
          </w:p>
        </w:tc>
        <w:tc>
          <w:tcPr>
            <w:tcW w:w="2672" w:type="dxa"/>
          </w:tcPr>
          <w:p w14:paraId="2F442151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 xml:space="preserve">9108 </w:t>
            </w:r>
            <w:r w:rsidRPr="00846052">
              <w:rPr>
                <w:rFonts w:ascii="Tahoma" w:hAnsi="Tahoma" w:cs="Tahoma"/>
              </w:rPr>
              <w:t xml:space="preserve">lub </w:t>
            </w:r>
            <w:r w:rsidRPr="00846052">
              <w:rPr>
                <w:rFonts w:ascii="Tahoma" w:hAnsi="Tahoma" w:cs="Tahoma"/>
                <w:b/>
                <w:bCs/>
              </w:rPr>
              <w:t>9149</w:t>
            </w:r>
          </w:p>
        </w:tc>
        <w:tc>
          <w:tcPr>
            <w:tcW w:w="4625" w:type="dxa"/>
          </w:tcPr>
          <w:p w14:paraId="63BEFB76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2030-Y30R</w:t>
            </w:r>
            <w:r w:rsidRPr="00846052">
              <w:rPr>
                <w:rFonts w:ascii="Tahoma" w:hAnsi="Tahoma" w:cs="Tahoma"/>
              </w:rPr>
              <w:t xml:space="preserve"> (R:210 G:156 B:108) lub</w:t>
            </w:r>
          </w:p>
          <w:p w14:paraId="30C1D24F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2020-Y50R</w:t>
            </w:r>
            <w:r w:rsidRPr="00846052">
              <w:rPr>
                <w:rFonts w:ascii="Tahoma" w:hAnsi="Tahoma" w:cs="Tahoma"/>
              </w:rPr>
              <w:t xml:space="preserve"> (R:223 G:169 B:134)</w:t>
            </w:r>
          </w:p>
        </w:tc>
        <w:tc>
          <w:tcPr>
            <w:tcW w:w="4183" w:type="dxa"/>
            <w:vMerge/>
          </w:tcPr>
          <w:p w14:paraId="16ADDE85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D66D87" w:rsidRPr="00D912DD" w14:paraId="1C9FAF7D" w14:textId="77777777" w:rsidTr="005C434B">
        <w:tc>
          <w:tcPr>
            <w:tcW w:w="2514" w:type="dxa"/>
          </w:tcPr>
          <w:p w14:paraId="1A7D721F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Obramowanie okien</w:t>
            </w:r>
          </w:p>
        </w:tc>
        <w:tc>
          <w:tcPr>
            <w:tcW w:w="2672" w:type="dxa"/>
          </w:tcPr>
          <w:p w14:paraId="598FC476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 xml:space="preserve">079 </w:t>
            </w:r>
            <w:r w:rsidRPr="00846052">
              <w:rPr>
                <w:rFonts w:ascii="Tahoma" w:hAnsi="Tahoma" w:cs="Tahoma"/>
              </w:rPr>
              <w:t>lub</w:t>
            </w:r>
            <w:r w:rsidRPr="00846052">
              <w:rPr>
                <w:rFonts w:ascii="Tahoma" w:hAnsi="Tahoma" w:cs="Tahoma"/>
                <w:b/>
                <w:bCs/>
              </w:rPr>
              <w:t xml:space="preserve"> 142</w:t>
            </w:r>
          </w:p>
        </w:tc>
        <w:tc>
          <w:tcPr>
            <w:tcW w:w="4625" w:type="dxa"/>
          </w:tcPr>
          <w:p w14:paraId="7B70BB5B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3010-B30G</w:t>
            </w:r>
            <w:r w:rsidRPr="00846052">
              <w:rPr>
                <w:rFonts w:ascii="Tahoma" w:hAnsi="Tahoma" w:cs="Tahoma"/>
              </w:rPr>
              <w:t xml:space="preserve"> (R:124 G:160 B:175) lub</w:t>
            </w:r>
          </w:p>
          <w:p w14:paraId="2ED07FC1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1020-R90B</w:t>
            </w:r>
            <w:r w:rsidRPr="00846052">
              <w:rPr>
                <w:rFonts w:ascii="Tahoma" w:hAnsi="Tahoma" w:cs="Tahoma"/>
              </w:rPr>
              <w:t xml:space="preserve"> (R:164 G:188 B:211)</w:t>
            </w:r>
          </w:p>
        </w:tc>
        <w:tc>
          <w:tcPr>
            <w:tcW w:w="4183" w:type="dxa"/>
            <w:vMerge/>
          </w:tcPr>
          <w:p w14:paraId="0FC1E5F5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D66D87" w:rsidRPr="00D912DD" w14:paraId="4F4E503D" w14:textId="77777777" w:rsidTr="005C434B">
        <w:tc>
          <w:tcPr>
            <w:tcW w:w="2514" w:type="dxa"/>
          </w:tcPr>
          <w:p w14:paraId="351C0CD4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>Lamperia</w:t>
            </w:r>
          </w:p>
        </w:tc>
        <w:tc>
          <w:tcPr>
            <w:tcW w:w="2672" w:type="dxa"/>
          </w:tcPr>
          <w:p w14:paraId="1024E042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 xml:space="preserve">079 </w:t>
            </w:r>
            <w:r w:rsidRPr="00846052">
              <w:rPr>
                <w:rFonts w:ascii="Tahoma" w:hAnsi="Tahoma" w:cs="Tahoma"/>
              </w:rPr>
              <w:t>lub</w:t>
            </w:r>
            <w:r w:rsidRPr="00846052">
              <w:rPr>
                <w:rFonts w:ascii="Tahoma" w:hAnsi="Tahoma" w:cs="Tahoma"/>
                <w:b/>
                <w:bCs/>
              </w:rPr>
              <w:t xml:space="preserve"> 094</w:t>
            </w:r>
          </w:p>
        </w:tc>
        <w:tc>
          <w:tcPr>
            <w:tcW w:w="4625" w:type="dxa"/>
          </w:tcPr>
          <w:p w14:paraId="71BC0323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3010-B30G</w:t>
            </w:r>
            <w:r w:rsidRPr="00846052">
              <w:rPr>
                <w:rFonts w:ascii="Tahoma" w:hAnsi="Tahoma" w:cs="Tahoma"/>
              </w:rPr>
              <w:t xml:space="preserve"> (R:124 G:160 B:175) lub </w:t>
            </w:r>
          </w:p>
          <w:p w14:paraId="54D15AA3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4010-B10G</w:t>
            </w:r>
            <w:r w:rsidRPr="00846052">
              <w:rPr>
                <w:rFonts w:ascii="Tahoma" w:hAnsi="Tahoma" w:cs="Tahoma"/>
              </w:rPr>
              <w:t xml:space="preserve"> (R:129 G:152 B:160)</w:t>
            </w:r>
          </w:p>
        </w:tc>
        <w:tc>
          <w:tcPr>
            <w:tcW w:w="4183" w:type="dxa"/>
            <w:vMerge/>
          </w:tcPr>
          <w:p w14:paraId="7E8F020B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D66D87" w:rsidRPr="00D912DD" w14:paraId="54F8BE8E" w14:textId="77777777" w:rsidTr="005C434B">
        <w:tc>
          <w:tcPr>
            <w:tcW w:w="2514" w:type="dxa"/>
          </w:tcPr>
          <w:p w14:paraId="0A6911E6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</w:rPr>
              <w:t xml:space="preserve">Prezbiterium </w:t>
            </w:r>
          </w:p>
        </w:tc>
        <w:tc>
          <w:tcPr>
            <w:tcW w:w="2672" w:type="dxa"/>
          </w:tcPr>
          <w:p w14:paraId="7BE060F2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 xml:space="preserve">140 </w:t>
            </w:r>
            <w:r w:rsidRPr="00846052">
              <w:rPr>
                <w:rFonts w:ascii="Tahoma" w:hAnsi="Tahoma" w:cs="Tahoma"/>
              </w:rPr>
              <w:t>lub</w:t>
            </w:r>
            <w:r w:rsidRPr="00846052">
              <w:rPr>
                <w:rFonts w:ascii="Tahoma" w:hAnsi="Tahoma" w:cs="Tahoma"/>
                <w:b/>
                <w:bCs/>
              </w:rPr>
              <w:t xml:space="preserve"> 141 </w:t>
            </w:r>
            <w:r w:rsidRPr="00846052">
              <w:rPr>
                <w:rFonts w:ascii="Tahoma" w:hAnsi="Tahoma" w:cs="Tahoma"/>
              </w:rPr>
              <w:t>lub</w:t>
            </w:r>
            <w:r w:rsidRPr="00846052">
              <w:rPr>
                <w:rFonts w:ascii="Tahoma" w:hAnsi="Tahoma" w:cs="Tahoma"/>
                <w:b/>
                <w:bCs/>
              </w:rPr>
              <w:t xml:space="preserve"> 142</w:t>
            </w:r>
          </w:p>
        </w:tc>
        <w:tc>
          <w:tcPr>
            <w:tcW w:w="4625" w:type="dxa"/>
          </w:tcPr>
          <w:p w14:paraId="69F40D30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2002-B50G</w:t>
            </w:r>
            <w:r w:rsidRPr="00846052">
              <w:rPr>
                <w:rFonts w:ascii="Tahoma" w:hAnsi="Tahoma" w:cs="Tahoma"/>
              </w:rPr>
              <w:t xml:space="preserve"> (R:193 G:201 B:206) lub </w:t>
            </w:r>
          </w:p>
          <w:p w14:paraId="52AACC38" w14:textId="77777777" w:rsidR="00D66D87" w:rsidRPr="00846052" w:rsidRDefault="00D66D87" w:rsidP="005C434B">
            <w:pPr>
              <w:rPr>
                <w:rFonts w:ascii="Tahoma" w:hAnsi="Tahoma" w:cs="Tahoma"/>
              </w:rPr>
            </w:pPr>
            <w:r w:rsidRPr="00846052">
              <w:rPr>
                <w:rFonts w:ascii="Tahoma" w:hAnsi="Tahoma" w:cs="Tahoma"/>
                <w:b/>
                <w:bCs/>
              </w:rPr>
              <w:t>2010-B10G</w:t>
            </w:r>
            <w:r w:rsidRPr="00846052">
              <w:rPr>
                <w:rFonts w:ascii="Tahoma" w:hAnsi="Tahoma" w:cs="Tahoma"/>
              </w:rPr>
              <w:t xml:space="preserve"> (R:176 G:187 B:196) lub</w:t>
            </w:r>
          </w:p>
          <w:p w14:paraId="7D695BC1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  <w:r w:rsidRPr="00846052">
              <w:rPr>
                <w:rFonts w:ascii="Tahoma" w:hAnsi="Tahoma" w:cs="Tahoma"/>
                <w:b/>
                <w:bCs/>
              </w:rPr>
              <w:t>1020-R90B</w:t>
            </w:r>
            <w:r w:rsidRPr="00846052">
              <w:rPr>
                <w:rFonts w:ascii="Tahoma" w:hAnsi="Tahoma" w:cs="Tahoma"/>
              </w:rPr>
              <w:t xml:space="preserve"> (R:164 G:188 B:211)</w:t>
            </w:r>
          </w:p>
        </w:tc>
        <w:tc>
          <w:tcPr>
            <w:tcW w:w="4183" w:type="dxa"/>
            <w:vMerge/>
          </w:tcPr>
          <w:p w14:paraId="4DF1EC08" w14:textId="77777777" w:rsidR="00D66D87" w:rsidRPr="00846052" w:rsidRDefault="00D66D87" w:rsidP="005C434B">
            <w:pPr>
              <w:rPr>
                <w:rFonts w:ascii="Tahoma" w:hAnsi="Tahoma" w:cs="Tahoma"/>
                <w:b/>
                <w:bCs/>
              </w:rPr>
            </w:pPr>
          </w:p>
        </w:tc>
      </w:tr>
    </w:tbl>
    <w:p w14:paraId="65B32AA5" w14:textId="77777777" w:rsidR="00D66D87" w:rsidRPr="00D912DD" w:rsidRDefault="00D66D87" w:rsidP="00D66D87">
      <w:pPr>
        <w:rPr>
          <w:rFonts w:cstheme="minorHAnsi"/>
          <w:b/>
          <w:bCs/>
          <w:sz w:val="22"/>
          <w:szCs w:val="22"/>
        </w:rPr>
      </w:pPr>
    </w:p>
    <w:p w14:paraId="4F7290A0" w14:textId="06FC5D21" w:rsidR="00787B47" w:rsidRPr="00846052" w:rsidRDefault="00787B47" w:rsidP="00787B47">
      <w:pPr>
        <w:rPr>
          <w:rFonts w:ascii="Tahoma" w:hAnsi="Tahoma" w:cs="Tahoma"/>
          <w:b/>
          <w:bCs/>
        </w:rPr>
      </w:pPr>
      <w:r w:rsidRPr="00846052">
        <w:rPr>
          <w:rFonts w:ascii="Tahoma" w:hAnsi="Tahoma" w:cs="Tahoma"/>
          <w:b/>
          <w:bCs/>
        </w:rPr>
        <w:t>III. ZASADY RÓWNOWAŻNOŚCI NORM</w:t>
      </w:r>
    </w:p>
    <w:p w14:paraId="09FA2D33" w14:textId="77777777" w:rsidR="00F54956" w:rsidRPr="00F54956" w:rsidRDefault="00F54956" w:rsidP="00F54956">
      <w:pPr>
        <w:rPr>
          <w:rFonts w:ascii="Tahoma" w:hAnsi="Tahoma" w:cs="Tahoma"/>
        </w:rPr>
      </w:pPr>
      <w:r w:rsidRPr="00F54956">
        <w:rPr>
          <w:rFonts w:ascii="Tahoma" w:hAnsi="Tahoma" w:cs="Tahoma"/>
        </w:rPr>
        <w:t xml:space="preserve">W przypadku odniesienia się w dokumentacji projektowej i specyfikacjach technicznych do norm, ocen technicznych, specyfikacji technicznych i systemów referencji technicznych, o których mowa w art. 101 ust. 1 pkt 2 oraz ust. 3 ustawy Pzp, odniesieniu </w:t>
      </w:r>
      <w:r w:rsidRPr="00F54956">
        <w:rPr>
          <w:rFonts w:ascii="Tahoma" w:hAnsi="Tahoma" w:cs="Tahoma"/>
        </w:rPr>
        <w:lastRenderedPageBreak/>
        <w:t>takiemu towarzyszy wyraz „lub równoważne”.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rozwiązań technicznych wskazanych w załącznikach do umowy.</w:t>
      </w:r>
      <w:r w:rsidRPr="00F54956">
        <w:rPr>
          <w:rFonts w:ascii="Tahoma" w:hAnsi="Tahoma" w:cs="Tahoma"/>
        </w:rPr>
        <w:br/>
        <w:t>W przypadku odwołania się do konkretnych norm lub innych przepisów, które spełniać mają materiały, sprzęt, urządzenia i inne towary oraz wykonane i zbadane roboty, obowiązywać będą postanowienia najnowszego wydania lub poprawionego wydania powołanych norm lub przepisów, o ile nie wskazano inaczej. Wykonawca, który powołuje się na rozwiązania równoważne opisywanym przez zamawiającego, jest obowiązany wykazać, że oferowane rozwiązania w równoważnym stopniu spełniają wymagania określone w dokumentach, o których mowa wyżej.</w:t>
      </w:r>
    </w:p>
    <w:p w14:paraId="5DA4A34A" w14:textId="77777777" w:rsidR="00F54956" w:rsidRPr="00F54956" w:rsidRDefault="00F54956" w:rsidP="00F54956">
      <w:r w:rsidRPr="00F54956">
        <w:t> </w:t>
      </w:r>
    </w:p>
    <w:p w14:paraId="31BE0A4B" w14:textId="77777777" w:rsidR="00BD7741" w:rsidRDefault="00BD7741"/>
    <w:sectPr w:rsidR="00BD7741" w:rsidSect="00D66D8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183BE" w14:textId="77777777" w:rsidR="00601C28" w:rsidRDefault="00601C28" w:rsidP="00601C28">
      <w:pPr>
        <w:spacing w:after="0" w:line="240" w:lineRule="auto"/>
      </w:pPr>
      <w:r>
        <w:separator/>
      </w:r>
    </w:p>
  </w:endnote>
  <w:endnote w:type="continuationSeparator" w:id="0">
    <w:p w14:paraId="327A224D" w14:textId="77777777" w:rsidR="00601C28" w:rsidRDefault="00601C28" w:rsidP="00601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EB57D" w14:textId="77777777" w:rsidR="00601C28" w:rsidRDefault="00601C28" w:rsidP="00601C28">
      <w:pPr>
        <w:spacing w:after="0" w:line="240" w:lineRule="auto"/>
      </w:pPr>
      <w:r>
        <w:separator/>
      </w:r>
    </w:p>
  </w:footnote>
  <w:footnote w:type="continuationSeparator" w:id="0">
    <w:p w14:paraId="301F34A4" w14:textId="77777777" w:rsidR="00601C28" w:rsidRDefault="00601C28" w:rsidP="00601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8820" w14:textId="232B7490" w:rsidR="00601C28" w:rsidRDefault="00601C28">
    <w:pPr>
      <w:pStyle w:val="Nagwek"/>
    </w:pPr>
    <w:r>
      <w:t>Załącznik nr 1 pkt 7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4FB8"/>
    <w:multiLevelType w:val="hybridMultilevel"/>
    <w:tmpl w:val="31E0A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433A"/>
    <w:multiLevelType w:val="multilevel"/>
    <w:tmpl w:val="A0A2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0F285B"/>
    <w:multiLevelType w:val="multilevel"/>
    <w:tmpl w:val="D7F4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822A4"/>
    <w:multiLevelType w:val="multilevel"/>
    <w:tmpl w:val="55C8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9138E4"/>
    <w:multiLevelType w:val="hybridMultilevel"/>
    <w:tmpl w:val="31E0A4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30DD4"/>
    <w:multiLevelType w:val="multilevel"/>
    <w:tmpl w:val="7002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CE525A"/>
    <w:multiLevelType w:val="multilevel"/>
    <w:tmpl w:val="27F69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1555B7"/>
    <w:multiLevelType w:val="multilevel"/>
    <w:tmpl w:val="1A8A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4E5613"/>
    <w:multiLevelType w:val="hybridMultilevel"/>
    <w:tmpl w:val="9208C640"/>
    <w:lvl w:ilvl="0" w:tplc="060A0674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8715A"/>
    <w:multiLevelType w:val="multilevel"/>
    <w:tmpl w:val="AC38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BC7440"/>
    <w:multiLevelType w:val="multilevel"/>
    <w:tmpl w:val="2A36B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996C91"/>
    <w:multiLevelType w:val="multilevel"/>
    <w:tmpl w:val="520CF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3A117C"/>
    <w:multiLevelType w:val="hybridMultilevel"/>
    <w:tmpl w:val="E48EB8D0"/>
    <w:lvl w:ilvl="0" w:tplc="B2063AB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872B1"/>
    <w:multiLevelType w:val="multilevel"/>
    <w:tmpl w:val="DFDC7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D565A4"/>
    <w:multiLevelType w:val="multilevel"/>
    <w:tmpl w:val="80744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C800C2"/>
    <w:multiLevelType w:val="hybridMultilevel"/>
    <w:tmpl w:val="9496B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4641A9"/>
    <w:multiLevelType w:val="multilevel"/>
    <w:tmpl w:val="51267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0060AD"/>
    <w:multiLevelType w:val="hybridMultilevel"/>
    <w:tmpl w:val="D4323BBA"/>
    <w:lvl w:ilvl="0" w:tplc="BD34EE7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16475"/>
    <w:multiLevelType w:val="multilevel"/>
    <w:tmpl w:val="CB146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6B3AE5"/>
    <w:multiLevelType w:val="multilevel"/>
    <w:tmpl w:val="36F00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BC56B5"/>
    <w:multiLevelType w:val="multilevel"/>
    <w:tmpl w:val="6E0C1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AB2FF0"/>
    <w:multiLevelType w:val="multilevel"/>
    <w:tmpl w:val="F10CF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BF2304"/>
    <w:multiLevelType w:val="multilevel"/>
    <w:tmpl w:val="71A8B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BB2DA6"/>
    <w:multiLevelType w:val="hybridMultilevel"/>
    <w:tmpl w:val="D6006008"/>
    <w:lvl w:ilvl="0" w:tplc="32E6263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132F0"/>
    <w:multiLevelType w:val="hybridMultilevel"/>
    <w:tmpl w:val="B50E8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D5990"/>
    <w:multiLevelType w:val="multilevel"/>
    <w:tmpl w:val="0B3E9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3464839">
    <w:abstractNumId w:val="10"/>
  </w:num>
  <w:num w:numId="2" w16cid:durableId="833110669">
    <w:abstractNumId w:val="2"/>
  </w:num>
  <w:num w:numId="3" w16cid:durableId="1564830870">
    <w:abstractNumId w:val="20"/>
  </w:num>
  <w:num w:numId="4" w16cid:durableId="609816860">
    <w:abstractNumId w:val="1"/>
  </w:num>
  <w:num w:numId="5" w16cid:durableId="1026829235">
    <w:abstractNumId w:val="5"/>
  </w:num>
  <w:num w:numId="6" w16cid:durableId="752091297">
    <w:abstractNumId w:val="9"/>
  </w:num>
  <w:num w:numId="7" w16cid:durableId="587930909">
    <w:abstractNumId w:val="14"/>
  </w:num>
  <w:num w:numId="8" w16cid:durableId="1124735203">
    <w:abstractNumId w:val="11"/>
  </w:num>
  <w:num w:numId="9" w16cid:durableId="578098046">
    <w:abstractNumId w:val="16"/>
  </w:num>
  <w:num w:numId="10" w16cid:durableId="477654580">
    <w:abstractNumId w:val="6"/>
  </w:num>
  <w:num w:numId="11" w16cid:durableId="537472114">
    <w:abstractNumId w:val="25"/>
  </w:num>
  <w:num w:numId="12" w16cid:durableId="21589095">
    <w:abstractNumId w:val="24"/>
  </w:num>
  <w:num w:numId="13" w16cid:durableId="985817639">
    <w:abstractNumId w:val="15"/>
  </w:num>
  <w:num w:numId="14" w16cid:durableId="312562373">
    <w:abstractNumId w:val="19"/>
  </w:num>
  <w:num w:numId="15" w16cid:durableId="1463376778">
    <w:abstractNumId w:val="0"/>
  </w:num>
  <w:num w:numId="16" w16cid:durableId="1170875398">
    <w:abstractNumId w:val="4"/>
  </w:num>
  <w:num w:numId="17" w16cid:durableId="1854226151">
    <w:abstractNumId w:val="18"/>
  </w:num>
  <w:num w:numId="18" w16cid:durableId="90711658">
    <w:abstractNumId w:val="21"/>
  </w:num>
  <w:num w:numId="19" w16cid:durableId="1796286143">
    <w:abstractNumId w:val="13"/>
  </w:num>
  <w:num w:numId="20" w16cid:durableId="1752046687">
    <w:abstractNumId w:val="22"/>
  </w:num>
  <w:num w:numId="21" w16cid:durableId="1926574049">
    <w:abstractNumId w:val="3"/>
  </w:num>
  <w:num w:numId="22" w16cid:durableId="2030836803">
    <w:abstractNumId w:val="7"/>
  </w:num>
  <w:num w:numId="23" w16cid:durableId="271396994">
    <w:abstractNumId w:val="12"/>
  </w:num>
  <w:num w:numId="24" w16cid:durableId="681275758">
    <w:abstractNumId w:val="17"/>
  </w:num>
  <w:num w:numId="25" w16cid:durableId="1769158360">
    <w:abstractNumId w:val="8"/>
  </w:num>
  <w:num w:numId="26" w16cid:durableId="387842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87"/>
    <w:rsid w:val="001F245A"/>
    <w:rsid w:val="00521F5E"/>
    <w:rsid w:val="00547B24"/>
    <w:rsid w:val="005C59C0"/>
    <w:rsid w:val="00601C28"/>
    <w:rsid w:val="00636589"/>
    <w:rsid w:val="006D7AB0"/>
    <w:rsid w:val="00787B47"/>
    <w:rsid w:val="00846052"/>
    <w:rsid w:val="009625B3"/>
    <w:rsid w:val="00BD7741"/>
    <w:rsid w:val="00BE077A"/>
    <w:rsid w:val="00C55600"/>
    <w:rsid w:val="00D66D87"/>
    <w:rsid w:val="00F54956"/>
    <w:rsid w:val="00F8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6635"/>
  <w15:chartTrackingRefBased/>
  <w15:docId w15:val="{752E93A0-D4F3-431C-B224-83B9FC22E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6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6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6D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6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6D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6D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D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6D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6D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6D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6D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6D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6D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6D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6D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D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6D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6D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6D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6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6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6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6D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6D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6D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6D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6D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6D8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66D8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C28"/>
  </w:style>
  <w:style w:type="paragraph" w:styleId="Stopka">
    <w:name w:val="footer"/>
    <w:basedOn w:val="Normalny"/>
    <w:link w:val="StopkaZnak"/>
    <w:uiPriority w:val="99"/>
    <w:unhideWhenUsed/>
    <w:rsid w:val="0060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2567</Words>
  <Characters>15407</Characters>
  <Application>Microsoft Office Word</Application>
  <DocSecurity>0</DocSecurity>
  <Lines>128</Lines>
  <Paragraphs>35</Paragraphs>
  <ScaleCrop>false</ScaleCrop>
  <Company/>
  <LinksUpToDate>false</LinksUpToDate>
  <CharactersWithSpaces>17939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Bułhak-Wołkowska</dc:creator>
  <cp:keywords/>
  <dc:description/>
  <cp:lastModifiedBy>Kinga Bułhak-Wołkowska</cp:lastModifiedBy>
  <cp:revision>3</cp:revision>
  <cp:lastPrinted>2026-04-01T13:47:00Z</cp:lastPrinted>
  <dcterms:created xsi:type="dcterms:W3CDTF">2026-08-23T12:15:00Z</dcterms:created>
  <dcterms:modified xsi:type="dcterms:W3CDTF">2026-08-24T08:57:00Z</dcterms:modified>
</cp:coreProperties>
</file>